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14BF" w14:textId="77777777" w:rsidR="006C1DC5" w:rsidRDefault="00781BFC" w:rsidP="00EC771E">
      <w:pPr>
        <w:ind w:left="4111" w:right="36"/>
        <w:jc w:val="both"/>
        <w:rPr>
          <w:rFonts w:ascii="Arial" w:eastAsia="Arial" w:hAnsi="Arial" w:cs="Arial"/>
          <w:b/>
          <w:sz w:val="24"/>
          <w:szCs w:val="24"/>
        </w:rPr>
      </w:pPr>
      <w:bookmarkStart w:id="0" w:name="_heading=h.gjdgxs" w:colFirst="0" w:colLast="0"/>
      <w:bookmarkStart w:id="1" w:name="_Hlk98494530"/>
      <w:bookmarkEnd w:id="0"/>
      <w:r>
        <w:rPr>
          <w:rFonts w:ascii="Arial" w:eastAsia="Arial" w:hAnsi="Arial" w:cs="Arial"/>
          <w:b/>
          <w:sz w:val="24"/>
          <w:szCs w:val="24"/>
        </w:rPr>
        <w:t>PROCEDIMIENTO ESPECIAL SANCIONADOR.</w:t>
      </w:r>
    </w:p>
    <w:p w14:paraId="3BF5D461" w14:textId="77777777" w:rsidR="006C1DC5" w:rsidRDefault="006C1DC5" w:rsidP="00EC771E">
      <w:pPr>
        <w:pBdr>
          <w:top w:val="nil"/>
          <w:left w:val="nil"/>
          <w:bottom w:val="nil"/>
          <w:right w:val="nil"/>
          <w:between w:val="nil"/>
        </w:pBdr>
        <w:ind w:left="4111"/>
        <w:rPr>
          <w:rFonts w:ascii="Arial" w:eastAsia="Arial" w:hAnsi="Arial" w:cs="Arial"/>
          <w:color w:val="000000"/>
          <w:sz w:val="14"/>
          <w:szCs w:val="14"/>
        </w:rPr>
      </w:pPr>
    </w:p>
    <w:p w14:paraId="60E163C7" w14:textId="77777777" w:rsidR="006C1DC5" w:rsidRDefault="00781BFC" w:rsidP="00EC771E">
      <w:pPr>
        <w:ind w:left="4111" w:right="36"/>
        <w:jc w:val="both"/>
        <w:rPr>
          <w:rFonts w:ascii="Arial" w:eastAsia="Arial" w:hAnsi="Arial" w:cs="Arial"/>
          <w:b/>
          <w:sz w:val="24"/>
          <w:szCs w:val="24"/>
        </w:rPr>
      </w:pPr>
      <w:r>
        <w:rPr>
          <w:rFonts w:ascii="Arial" w:eastAsia="Arial" w:hAnsi="Arial" w:cs="Arial"/>
          <w:b/>
          <w:sz w:val="24"/>
          <w:szCs w:val="24"/>
        </w:rPr>
        <w:t xml:space="preserve">EXPEDIENTE: </w:t>
      </w:r>
      <w:r>
        <w:rPr>
          <w:rFonts w:ascii="Arial" w:eastAsia="Arial" w:hAnsi="Arial" w:cs="Arial"/>
          <w:sz w:val="24"/>
          <w:szCs w:val="24"/>
        </w:rPr>
        <w:t>TEEA-PES-008/2022.</w:t>
      </w:r>
      <w:r>
        <w:rPr>
          <w:rFonts w:ascii="Arial" w:eastAsia="Arial" w:hAnsi="Arial" w:cs="Arial"/>
          <w:b/>
          <w:sz w:val="24"/>
          <w:szCs w:val="24"/>
        </w:rPr>
        <w:t xml:space="preserve"> </w:t>
      </w:r>
    </w:p>
    <w:p w14:paraId="41BDC1A1" w14:textId="77777777" w:rsidR="006C1DC5" w:rsidRDefault="006C1DC5" w:rsidP="00EC771E">
      <w:pPr>
        <w:ind w:left="4111" w:right="36"/>
        <w:jc w:val="both"/>
        <w:rPr>
          <w:rFonts w:ascii="Arial" w:eastAsia="Arial" w:hAnsi="Arial" w:cs="Arial"/>
          <w:b/>
          <w:sz w:val="14"/>
          <w:szCs w:val="14"/>
        </w:rPr>
      </w:pPr>
    </w:p>
    <w:p w14:paraId="27BA0C64" w14:textId="77777777" w:rsidR="006C1DC5" w:rsidRDefault="00781BFC" w:rsidP="00EC771E">
      <w:pPr>
        <w:ind w:left="4111" w:right="36"/>
        <w:jc w:val="both"/>
        <w:rPr>
          <w:rFonts w:ascii="Arial" w:eastAsia="Arial" w:hAnsi="Arial" w:cs="Arial"/>
          <w:sz w:val="24"/>
          <w:szCs w:val="24"/>
        </w:rPr>
      </w:pPr>
      <w:r>
        <w:rPr>
          <w:rFonts w:ascii="Arial" w:eastAsia="Arial" w:hAnsi="Arial" w:cs="Arial"/>
          <w:b/>
          <w:sz w:val="24"/>
          <w:szCs w:val="24"/>
        </w:rPr>
        <w:t>DENUNCIANTE:</w:t>
      </w:r>
      <w:r>
        <w:rPr>
          <w:rFonts w:ascii="Arial" w:eastAsia="Arial" w:hAnsi="Arial" w:cs="Arial"/>
          <w:sz w:val="24"/>
          <w:szCs w:val="24"/>
        </w:rPr>
        <w:t xml:space="preserve">   </w:t>
      </w:r>
      <w:bookmarkStart w:id="2" w:name="_Hlk98494495"/>
      <w:r>
        <w:rPr>
          <w:rFonts w:ascii="Arial" w:eastAsia="Arial" w:hAnsi="Arial" w:cs="Arial"/>
          <w:sz w:val="24"/>
          <w:szCs w:val="24"/>
        </w:rPr>
        <w:t>MARÍA TERESA JIMÉNEZ ESQUIVEL.</w:t>
      </w:r>
    </w:p>
    <w:bookmarkEnd w:id="2"/>
    <w:p w14:paraId="277A1612" w14:textId="77777777" w:rsidR="006C1DC5" w:rsidRDefault="006C1DC5" w:rsidP="00EC771E">
      <w:pPr>
        <w:pBdr>
          <w:top w:val="nil"/>
          <w:left w:val="nil"/>
          <w:bottom w:val="nil"/>
          <w:right w:val="nil"/>
          <w:between w:val="nil"/>
        </w:pBdr>
        <w:ind w:left="4111"/>
        <w:rPr>
          <w:rFonts w:ascii="Arial" w:eastAsia="Arial" w:hAnsi="Arial" w:cs="Arial"/>
          <w:color w:val="000000"/>
          <w:sz w:val="14"/>
          <w:szCs w:val="14"/>
        </w:rPr>
      </w:pPr>
    </w:p>
    <w:p w14:paraId="11AD7DCB" w14:textId="77777777" w:rsidR="006C1DC5" w:rsidRDefault="00781BFC" w:rsidP="00EC771E">
      <w:pPr>
        <w:ind w:left="4111" w:right="36"/>
        <w:jc w:val="both"/>
        <w:rPr>
          <w:rFonts w:ascii="Arial" w:eastAsia="Arial" w:hAnsi="Arial" w:cs="Arial"/>
          <w:sz w:val="24"/>
          <w:szCs w:val="24"/>
        </w:rPr>
      </w:pPr>
      <w:r>
        <w:rPr>
          <w:rFonts w:ascii="Arial" w:eastAsia="Arial" w:hAnsi="Arial" w:cs="Arial"/>
          <w:b/>
          <w:sz w:val="24"/>
          <w:szCs w:val="24"/>
        </w:rPr>
        <w:t>DENUNCIADA:</w:t>
      </w:r>
      <w:r>
        <w:rPr>
          <w:rFonts w:ascii="Arial" w:eastAsia="Arial" w:hAnsi="Arial" w:cs="Arial"/>
          <w:sz w:val="24"/>
          <w:szCs w:val="24"/>
        </w:rPr>
        <w:t xml:space="preserve"> MARTHA CECILIA MÁRQUEZ ALVARADO, SENADORA DE LA REPÚBLICA. </w:t>
      </w:r>
    </w:p>
    <w:bookmarkEnd w:id="1"/>
    <w:p w14:paraId="47BF92A3" w14:textId="77777777" w:rsidR="006C1DC5" w:rsidRDefault="006C1DC5" w:rsidP="00EC771E">
      <w:pPr>
        <w:pBdr>
          <w:top w:val="nil"/>
          <w:left w:val="nil"/>
          <w:bottom w:val="nil"/>
          <w:right w:val="nil"/>
          <w:between w:val="nil"/>
        </w:pBdr>
        <w:ind w:left="4111"/>
        <w:rPr>
          <w:rFonts w:ascii="Arial" w:eastAsia="Arial" w:hAnsi="Arial" w:cs="Arial"/>
          <w:color w:val="000000"/>
          <w:sz w:val="14"/>
          <w:szCs w:val="14"/>
        </w:rPr>
      </w:pPr>
    </w:p>
    <w:p w14:paraId="1B695268" w14:textId="77777777" w:rsidR="006C1DC5" w:rsidRDefault="00781BFC" w:rsidP="00EC771E">
      <w:pPr>
        <w:ind w:left="4111" w:right="36"/>
        <w:jc w:val="both"/>
        <w:rPr>
          <w:rFonts w:ascii="Arial" w:eastAsia="Arial" w:hAnsi="Arial" w:cs="Arial"/>
          <w:sz w:val="24"/>
          <w:szCs w:val="24"/>
        </w:rPr>
      </w:pPr>
      <w:r>
        <w:rPr>
          <w:rFonts w:ascii="Arial" w:eastAsia="Arial" w:hAnsi="Arial" w:cs="Arial"/>
          <w:b/>
          <w:sz w:val="24"/>
          <w:szCs w:val="24"/>
        </w:rPr>
        <w:t>MAGISTRADA PONENTE:</w:t>
      </w:r>
      <w:r>
        <w:rPr>
          <w:rFonts w:ascii="Arial" w:eastAsia="Arial" w:hAnsi="Arial" w:cs="Arial"/>
          <w:sz w:val="24"/>
          <w:szCs w:val="24"/>
        </w:rPr>
        <w:t xml:space="preserve"> LAURA HORTENSIA LLAMAS HERNÁNDEZ.</w:t>
      </w:r>
    </w:p>
    <w:p w14:paraId="328B156E" w14:textId="77777777" w:rsidR="006C1DC5" w:rsidRDefault="006C1DC5" w:rsidP="00EC771E">
      <w:pPr>
        <w:pBdr>
          <w:top w:val="nil"/>
          <w:left w:val="nil"/>
          <w:bottom w:val="nil"/>
          <w:right w:val="nil"/>
          <w:between w:val="nil"/>
        </w:pBdr>
        <w:ind w:left="4111"/>
        <w:rPr>
          <w:rFonts w:ascii="Arial" w:eastAsia="Arial" w:hAnsi="Arial" w:cs="Arial"/>
          <w:color w:val="000000"/>
          <w:sz w:val="14"/>
          <w:szCs w:val="14"/>
        </w:rPr>
      </w:pPr>
    </w:p>
    <w:p w14:paraId="1CC1F8E7" w14:textId="77777777" w:rsidR="006C1DC5" w:rsidRDefault="00781BFC" w:rsidP="00EC771E">
      <w:pPr>
        <w:ind w:left="4111" w:right="36"/>
        <w:jc w:val="both"/>
        <w:rPr>
          <w:rFonts w:ascii="Arial" w:eastAsia="Arial" w:hAnsi="Arial" w:cs="Arial"/>
          <w:sz w:val="24"/>
          <w:szCs w:val="24"/>
        </w:rPr>
      </w:pPr>
      <w:r>
        <w:rPr>
          <w:rFonts w:ascii="Arial" w:eastAsia="Arial" w:hAnsi="Arial" w:cs="Arial"/>
          <w:b/>
          <w:sz w:val="24"/>
          <w:szCs w:val="24"/>
        </w:rPr>
        <w:t>SECRETARIO DE ESTUDIO</w:t>
      </w:r>
      <w:r>
        <w:rPr>
          <w:rFonts w:ascii="Arial" w:eastAsia="Arial" w:hAnsi="Arial" w:cs="Arial"/>
          <w:b/>
          <w:sz w:val="24"/>
          <w:szCs w:val="24"/>
          <w:vertAlign w:val="superscript"/>
        </w:rPr>
        <w:footnoteReference w:id="1"/>
      </w:r>
      <w:r>
        <w:rPr>
          <w:rFonts w:ascii="Arial" w:eastAsia="Arial" w:hAnsi="Arial" w:cs="Arial"/>
          <w:b/>
          <w:sz w:val="24"/>
          <w:szCs w:val="24"/>
        </w:rPr>
        <w:t xml:space="preserve">: </w:t>
      </w:r>
      <w:r>
        <w:rPr>
          <w:rFonts w:ascii="Arial" w:eastAsia="Arial" w:hAnsi="Arial" w:cs="Arial"/>
          <w:sz w:val="24"/>
          <w:szCs w:val="24"/>
        </w:rPr>
        <w:t>EDGAR ALEJANDRO LÓPEZ DÁVILA.</w:t>
      </w:r>
    </w:p>
    <w:p w14:paraId="58766486" w14:textId="77777777" w:rsidR="006C1DC5" w:rsidRDefault="006C1DC5" w:rsidP="00EC771E">
      <w:pPr>
        <w:ind w:left="4111" w:right="36"/>
        <w:jc w:val="both"/>
        <w:rPr>
          <w:rFonts w:ascii="Arial" w:eastAsia="Arial" w:hAnsi="Arial" w:cs="Arial"/>
          <w:sz w:val="14"/>
          <w:szCs w:val="14"/>
        </w:rPr>
      </w:pPr>
    </w:p>
    <w:p w14:paraId="50FB41C5" w14:textId="77777777" w:rsidR="006C1DC5" w:rsidRDefault="00781BFC" w:rsidP="00EC771E">
      <w:pPr>
        <w:ind w:left="4111" w:right="36"/>
        <w:jc w:val="both"/>
        <w:rPr>
          <w:rFonts w:ascii="Arial" w:eastAsia="Arial" w:hAnsi="Arial" w:cs="Arial"/>
          <w:sz w:val="24"/>
          <w:szCs w:val="24"/>
        </w:rPr>
      </w:pPr>
      <w:r>
        <w:rPr>
          <w:rFonts w:ascii="Arial" w:eastAsia="Arial" w:hAnsi="Arial" w:cs="Arial"/>
          <w:b/>
          <w:sz w:val="24"/>
          <w:szCs w:val="24"/>
        </w:rPr>
        <w:t xml:space="preserve">COLABORÓ: </w:t>
      </w:r>
      <w:r>
        <w:rPr>
          <w:rFonts w:ascii="Arial" w:eastAsia="Arial" w:hAnsi="Arial" w:cs="Arial"/>
          <w:sz w:val="24"/>
          <w:szCs w:val="24"/>
        </w:rPr>
        <w:t>GUADALUPE JOCELYN MARTÍNEZ TAVAREZ E IVONNE AZUCENA ZAVALA SOTO.</w:t>
      </w:r>
    </w:p>
    <w:p w14:paraId="5216FB48" w14:textId="77777777" w:rsidR="006C1DC5" w:rsidRDefault="006C1DC5" w:rsidP="00EC771E">
      <w:pPr>
        <w:pBdr>
          <w:top w:val="nil"/>
          <w:left w:val="nil"/>
          <w:bottom w:val="nil"/>
          <w:right w:val="nil"/>
          <w:between w:val="nil"/>
        </w:pBdr>
        <w:ind w:left="4111"/>
        <w:rPr>
          <w:color w:val="000000"/>
        </w:rPr>
      </w:pPr>
    </w:p>
    <w:p w14:paraId="56B2D564" w14:textId="01D759D4" w:rsidR="006C1DC5" w:rsidRDefault="00781BFC" w:rsidP="00EC771E">
      <w:pPr>
        <w:pBdr>
          <w:top w:val="nil"/>
          <w:left w:val="nil"/>
          <w:bottom w:val="nil"/>
          <w:right w:val="nil"/>
          <w:between w:val="nil"/>
        </w:pBdr>
        <w:spacing w:line="360" w:lineRule="auto"/>
        <w:ind w:left="3119" w:right="36"/>
        <w:jc w:val="right"/>
        <w:rPr>
          <w:rFonts w:ascii="Arial" w:eastAsia="Arial" w:hAnsi="Arial" w:cs="Arial"/>
          <w:sz w:val="24"/>
          <w:szCs w:val="24"/>
        </w:rPr>
      </w:pPr>
      <w:r>
        <w:rPr>
          <w:rFonts w:ascii="Arial" w:eastAsia="Arial" w:hAnsi="Arial" w:cs="Arial"/>
          <w:sz w:val="24"/>
          <w:szCs w:val="24"/>
        </w:rPr>
        <w:t xml:space="preserve">Aguascalientes, Aguascalientes, </w:t>
      </w:r>
      <w:r w:rsidR="0087045B">
        <w:rPr>
          <w:rFonts w:ascii="Arial" w:eastAsia="Arial" w:hAnsi="Arial" w:cs="Arial"/>
          <w:color w:val="000000"/>
          <w:sz w:val="24"/>
          <w:szCs w:val="24"/>
        </w:rPr>
        <w:t>a 18</w:t>
      </w:r>
      <w:r>
        <w:rPr>
          <w:rFonts w:ascii="Arial" w:eastAsia="Arial" w:hAnsi="Arial" w:cs="Arial"/>
          <w:color w:val="000000"/>
          <w:sz w:val="24"/>
          <w:szCs w:val="24"/>
        </w:rPr>
        <w:t xml:space="preserve"> de marzo de 2022</w:t>
      </w:r>
      <w:r>
        <w:rPr>
          <w:rFonts w:ascii="Arial" w:eastAsia="Arial" w:hAnsi="Arial" w:cs="Arial"/>
          <w:sz w:val="24"/>
          <w:szCs w:val="24"/>
        </w:rPr>
        <w:t>.</w:t>
      </w:r>
    </w:p>
    <w:p w14:paraId="25B14E2C" w14:textId="77777777" w:rsidR="006C1DC5" w:rsidRDefault="006C1DC5">
      <w:pPr>
        <w:pBdr>
          <w:top w:val="nil"/>
          <w:left w:val="nil"/>
          <w:bottom w:val="nil"/>
          <w:right w:val="nil"/>
          <w:between w:val="nil"/>
        </w:pBdr>
        <w:rPr>
          <w:color w:val="000000"/>
          <w:sz w:val="18"/>
          <w:szCs w:val="18"/>
        </w:rPr>
      </w:pPr>
    </w:p>
    <w:p w14:paraId="1E10B698" w14:textId="77777777" w:rsidR="006C1DC5" w:rsidRDefault="00781BFC">
      <w:pPr>
        <w:spacing w:line="360" w:lineRule="auto"/>
        <w:jc w:val="both"/>
        <w:rPr>
          <w:rFonts w:ascii="Arial" w:eastAsia="Arial" w:hAnsi="Arial" w:cs="Arial"/>
          <w:sz w:val="24"/>
          <w:szCs w:val="24"/>
        </w:rPr>
      </w:pPr>
      <w:bookmarkStart w:id="3" w:name="_heading=h.30j0zll" w:colFirst="0" w:colLast="0"/>
      <w:bookmarkEnd w:id="3"/>
      <w:r>
        <w:rPr>
          <w:rFonts w:ascii="Arial" w:eastAsia="Arial" w:hAnsi="Arial" w:cs="Arial"/>
          <w:b/>
          <w:sz w:val="24"/>
          <w:szCs w:val="24"/>
        </w:rPr>
        <w:t xml:space="preserve">Sentencia del Tribunal Electoral </w:t>
      </w:r>
      <w:r>
        <w:rPr>
          <w:rFonts w:ascii="Arial" w:eastAsia="Arial" w:hAnsi="Arial" w:cs="Arial"/>
          <w:sz w:val="24"/>
          <w:szCs w:val="24"/>
        </w:rPr>
        <w:t>que declara</w:t>
      </w:r>
      <w:r>
        <w:rPr>
          <w:rFonts w:ascii="Arial" w:eastAsia="Arial" w:hAnsi="Arial" w:cs="Arial"/>
          <w:b/>
          <w:sz w:val="24"/>
          <w:szCs w:val="24"/>
        </w:rPr>
        <w:t xml:space="preserve"> </w:t>
      </w:r>
      <w:r>
        <w:rPr>
          <w:rFonts w:ascii="Arial" w:eastAsia="Arial" w:hAnsi="Arial" w:cs="Arial"/>
          <w:sz w:val="24"/>
          <w:szCs w:val="24"/>
        </w:rPr>
        <w:t xml:space="preserve">la </w:t>
      </w:r>
      <w:r>
        <w:rPr>
          <w:rFonts w:ascii="Arial" w:eastAsia="Arial" w:hAnsi="Arial" w:cs="Arial"/>
          <w:b/>
          <w:sz w:val="24"/>
          <w:szCs w:val="24"/>
        </w:rPr>
        <w:t>inexistencia</w:t>
      </w:r>
      <w:r>
        <w:rPr>
          <w:rFonts w:ascii="Arial" w:eastAsia="Arial" w:hAnsi="Arial" w:cs="Arial"/>
          <w:sz w:val="24"/>
          <w:szCs w:val="24"/>
        </w:rPr>
        <w:t xml:space="preserve"> de las infracciones relativas a actos anticipados de campaña, calumnia y vulneración al principio de imparcialidad atribuidas a Martha Cecilia Márquez Alvarado, en su carácter de entonces Senadora de la República.</w:t>
      </w:r>
    </w:p>
    <w:p w14:paraId="02399913" w14:textId="77777777" w:rsidR="006C1DC5" w:rsidRPr="002E474E" w:rsidRDefault="006C1DC5">
      <w:pPr>
        <w:jc w:val="both"/>
        <w:rPr>
          <w:rFonts w:ascii="Arial" w:eastAsia="Arial" w:hAnsi="Arial" w:cs="Arial"/>
          <w:sz w:val="16"/>
          <w:szCs w:val="16"/>
        </w:rPr>
      </w:pPr>
      <w:bookmarkStart w:id="4" w:name="_heading=h.go0zg9ohngd3" w:colFirst="0" w:colLast="0"/>
      <w:bookmarkEnd w:id="4"/>
    </w:p>
    <w:p w14:paraId="76B215B0" w14:textId="064769B8" w:rsidR="006C1DC5" w:rsidRDefault="00781BFC">
      <w:pPr>
        <w:spacing w:line="360" w:lineRule="auto"/>
        <w:jc w:val="both"/>
        <w:rPr>
          <w:rFonts w:ascii="Arial" w:eastAsia="Arial" w:hAnsi="Arial" w:cs="Arial"/>
          <w:sz w:val="24"/>
          <w:szCs w:val="24"/>
        </w:rPr>
      </w:pPr>
      <w:bookmarkStart w:id="5" w:name="_heading=h.lks7ysrabu74" w:colFirst="0" w:colLast="0"/>
      <w:bookmarkEnd w:id="5"/>
      <w:r>
        <w:rPr>
          <w:rFonts w:ascii="Arial" w:eastAsia="Arial" w:hAnsi="Arial" w:cs="Arial"/>
          <w:sz w:val="24"/>
          <w:szCs w:val="24"/>
        </w:rPr>
        <w:t>Lo anterior, porque este órgano jurisdiccional estima que el hecho de que las expresiones cuestionadas fueran emitidas por una funcionaria</w:t>
      </w:r>
      <w:r w:rsidR="002E474E">
        <w:rPr>
          <w:rFonts w:ascii="Arial" w:eastAsia="Arial" w:hAnsi="Arial" w:cs="Arial"/>
          <w:sz w:val="24"/>
          <w:szCs w:val="24"/>
        </w:rPr>
        <w:t xml:space="preserve"> </w:t>
      </w:r>
      <w:r>
        <w:rPr>
          <w:rFonts w:ascii="Arial" w:eastAsia="Arial" w:hAnsi="Arial" w:cs="Arial"/>
          <w:sz w:val="24"/>
          <w:szCs w:val="24"/>
        </w:rPr>
        <w:t>perteneciente a un órgano legislativo en el curso de una Sesión Ordinaria</w:t>
      </w:r>
      <w:r w:rsidR="002E474E">
        <w:rPr>
          <w:rFonts w:ascii="Arial" w:eastAsia="Arial" w:hAnsi="Arial" w:cs="Arial"/>
          <w:sz w:val="24"/>
          <w:szCs w:val="24"/>
        </w:rPr>
        <w:t xml:space="preserve"> -en ejercicio de sus funciones-</w:t>
      </w:r>
      <w:r>
        <w:rPr>
          <w:rFonts w:ascii="Arial" w:eastAsia="Arial" w:hAnsi="Arial" w:cs="Arial"/>
          <w:sz w:val="24"/>
          <w:szCs w:val="24"/>
        </w:rPr>
        <w:t xml:space="preserve">, en específico, en el recinto del Senado de la República, implica que se encuentren amparadas por el principio de inviolabilidad parlamentaria, del que gozan las y los legisladores en el ejercicio de sus funciones, situación que </w:t>
      </w:r>
      <w:r>
        <w:rPr>
          <w:rFonts w:ascii="Arial" w:eastAsia="Arial" w:hAnsi="Arial" w:cs="Arial"/>
          <w:b/>
          <w:sz w:val="24"/>
          <w:szCs w:val="24"/>
        </w:rPr>
        <w:t>actualiza una excepción al ámbito de competencia que corresponde al derecho electoral</w:t>
      </w:r>
      <w:r>
        <w:rPr>
          <w:rFonts w:ascii="Arial" w:eastAsia="Arial" w:hAnsi="Arial" w:cs="Arial"/>
          <w:sz w:val="24"/>
          <w:szCs w:val="24"/>
        </w:rPr>
        <w:t>.</w:t>
      </w:r>
    </w:p>
    <w:p w14:paraId="28F6EC17" w14:textId="77777777" w:rsidR="006C1DC5" w:rsidRPr="002E474E" w:rsidRDefault="006C1DC5" w:rsidP="002E474E">
      <w:pPr>
        <w:pStyle w:val="Sinespaciado"/>
        <w:rPr>
          <w:sz w:val="2"/>
          <w:szCs w:val="2"/>
        </w:rPr>
      </w:pPr>
      <w:bookmarkStart w:id="6" w:name="_heading=h.1y2fehvkjzhp" w:colFirst="0" w:colLast="0"/>
      <w:bookmarkEnd w:id="6"/>
    </w:p>
    <w:p w14:paraId="5CF92777" w14:textId="77777777" w:rsidR="00F42EE6" w:rsidRDefault="00781BFC" w:rsidP="00F42EE6">
      <w:pPr>
        <w:spacing w:line="360" w:lineRule="auto"/>
        <w:rPr>
          <w:rFonts w:ascii="Arial" w:eastAsia="Arial" w:hAnsi="Arial" w:cs="Arial"/>
          <w:b/>
          <w:color w:val="000000"/>
          <w:sz w:val="16"/>
          <w:szCs w:val="16"/>
        </w:rPr>
      </w:pPr>
      <w:bookmarkStart w:id="7" w:name="_heading=h.timsro24bvei" w:colFirst="0" w:colLast="0"/>
      <w:bookmarkEnd w:id="7"/>
      <w:r>
        <w:rPr>
          <w:rFonts w:ascii="Arial" w:eastAsia="Arial" w:hAnsi="Arial" w:cs="Arial"/>
          <w:b/>
          <w:color w:val="000000"/>
          <w:sz w:val="16"/>
          <w:szCs w:val="16"/>
        </w:rPr>
        <w:t xml:space="preserve">                                                                                       Índice </w:t>
      </w:r>
    </w:p>
    <w:p w14:paraId="61A32307" w14:textId="16A319C5" w:rsidR="006C1DC5" w:rsidRPr="00F42EE6" w:rsidRDefault="00F42EE6" w:rsidP="00F42EE6">
      <w:pPr>
        <w:ind w:firstLine="720"/>
        <w:rPr>
          <w:rFonts w:ascii="Arial" w:eastAsia="Arial" w:hAnsi="Arial" w:cs="Arial"/>
          <w:b/>
          <w:color w:val="000000"/>
          <w:sz w:val="16"/>
          <w:szCs w:val="16"/>
        </w:rPr>
      </w:pPr>
      <w:r>
        <w:rPr>
          <w:rFonts w:ascii="Arial" w:eastAsia="Arial" w:hAnsi="Arial" w:cs="Arial"/>
          <w:sz w:val="16"/>
          <w:szCs w:val="16"/>
        </w:rPr>
        <w:t xml:space="preserve">      </w:t>
      </w:r>
      <w:r w:rsidR="00781BFC">
        <w:rPr>
          <w:rFonts w:ascii="Arial" w:eastAsia="Arial" w:hAnsi="Arial" w:cs="Arial"/>
          <w:sz w:val="16"/>
          <w:szCs w:val="16"/>
        </w:rPr>
        <w:t>I. Contexto del caso ………………………………………………………………………</w:t>
      </w:r>
      <w:r>
        <w:rPr>
          <w:rFonts w:ascii="Arial" w:eastAsia="Arial" w:hAnsi="Arial" w:cs="Arial"/>
          <w:sz w:val="16"/>
          <w:szCs w:val="16"/>
        </w:rPr>
        <w:t>..</w:t>
      </w:r>
      <w:r w:rsidR="00781BFC">
        <w:rPr>
          <w:rFonts w:ascii="Arial" w:eastAsia="Arial" w:hAnsi="Arial" w:cs="Arial"/>
          <w:sz w:val="16"/>
          <w:szCs w:val="16"/>
        </w:rPr>
        <w:t>…………...</w:t>
      </w:r>
      <w:r w:rsidR="00781BFC">
        <w:rPr>
          <w:rFonts w:ascii="Arial" w:eastAsia="Arial" w:hAnsi="Arial" w:cs="Arial"/>
          <w:sz w:val="4"/>
          <w:szCs w:val="4"/>
        </w:rPr>
        <w:t xml:space="preserve">. </w:t>
      </w:r>
      <w:r w:rsidR="002F0F05">
        <w:rPr>
          <w:rFonts w:ascii="Arial" w:eastAsia="Arial" w:hAnsi="Arial" w:cs="Arial"/>
          <w:sz w:val="4"/>
          <w:szCs w:val="4"/>
        </w:rPr>
        <w:t>…</w:t>
      </w:r>
      <w:r w:rsidR="00781BFC">
        <w:rPr>
          <w:rFonts w:ascii="Arial" w:eastAsia="Arial" w:hAnsi="Arial" w:cs="Arial"/>
          <w:sz w:val="16"/>
          <w:szCs w:val="16"/>
        </w:rPr>
        <w:t>2</w:t>
      </w:r>
    </w:p>
    <w:p w14:paraId="4A83BEA6" w14:textId="0DFEB587" w:rsidR="006C1DC5" w:rsidRDefault="00781BFC" w:rsidP="00F42EE6">
      <w:pPr>
        <w:ind w:right="616" w:firstLine="720"/>
        <w:rPr>
          <w:rFonts w:ascii="Arial" w:eastAsia="Arial" w:hAnsi="Arial" w:cs="Arial"/>
          <w:sz w:val="16"/>
          <w:szCs w:val="16"/>
        </w:rPr>
      </w:pPr>
      <w:r>
        <w:rPr>
          <w:rFonts w:ascii="Arial" w:eastAsia="Arial" w:hAnsi="Arial" w:cs="Arial"/>
          <w:sz w:val="16"/>
          <w:szCs w:val="16"/>
        </w:rPr>
        <w:t xml:space="preserve">  </w:t>
      </w:r>
      <w:r w:rsidR="00F42EE6">
        <w:rPr>
          <w:rFonts w:ascii="Arial" w:eastAsia="Arial" w:hAnsi="Arial" w:cs="Arial"/>
          <w:sz w:val="16"/>
          <w:szCs w:val="16"/>
        </w:rPr>
        <w:t xml:space="preserve">    </w:t>
      </w:r>
      <w:r>
        <w:rPr>
          <w:rFonts w:ascii="Arial" w:eastAsia="Arial" w:hAnsi="Arial" w:cs="Arial"/>
          <w:sz w:val="16"/>
          <w:szCs w:val="16"/>
        </w:rPr>
        <w:t>II. Estudio preliminar………………………………………………………………………</w:t>
      </w:r>
      <w:r w:rsidR="00F42EE6">
        <w:rPr>
          <w:rFonts w:ascii="Arial" w:eastAsia="Arial" w:hAnsi="Arial" w:cs="Arial"/>
          <w:sz w:val="16"/>
          <w:szCs w:val="16"/>
        </w:rPr>
        <w:t>..</w:t>
      </w:r>
      <w:r>
        <w:rPr>
          <w:rFonts w:ascii="Arial" w:eastAsia="Arial" w:hAnsi="Arial" w:cs="Arial"/>
          <w:sz w:val="16"/>
          <w:szCs w:val="16"/>
        </w:rPr>
        <w:t>……..…....</w:t>
      </w:r>
      <w:r w:rsidR="002F0F05">
        <w:rPr>
          <w:rFonts w:ascii="Arial" w:eastAsia="Arial" w:hAnsi="Arial" w:cs="Arial"/>
          <w:sz w:val="16"/>
          <w:szCs w:val="16"/>
        </w:rPr>
        <w:t>.</w:t>
      </w:r>
      <w:r>
        <w:rPr>
          <w:rFonts w:ascii="Arial" w:eastAsia="Arial" w:hAnsi="Arial" w:cs="Arial"/>
          <w:sz w:val="16"/>
          <w:szCs w:val="16"/>
        </w:rPr>
        <w:t>.</w:t>
      </w:r>
      <w:r w:rsidR="002F0F05">
        <w:rPr>
          <w:rFonts w:ascii="Arial" w:eastAsia="Arial" w:hAnsi="Arial" w:cs="Arial"/>
          <w:sz w:val="16"/>
          <w:szCs w:val="16"/>
        </w:rPr>
        <w:t>2</w:t>
      </w:r>
    </w:p>
    <w:p w14:paraId="3B35D0DA" w14:textId="0A2067D2" w:rsidR="006C1DC5" w:rsidRDefault="00781BFC">
      <w:pPr>
        <w:ind w:right="616" w:firstLine="720"/>
        <w:rPr>
          <w:rFonts w:ascii="Arial" w:eastAsia="Arial" w:hAnsi="Arial" w:cs="Arial"/>
          <w:sz w:val="16"/>
          <w:szCs w:val="16"/>
        </w:rPr>
      </w:pPr>
      <w:r>
        <w:rPr>
          <w:rFonts w:ascii="Arial" w:eastAsia="Arial" w:hAnsi="Arial" w:cs="Arial"/>
          <w:sz w:val="16"/>
          <w:szCs w:val="16"/>
        </w:rPr>
        <w:t xml:space="preserve">  </w:t>
      </w:r>
      <w:r w:rsidR="00F42EE6">
        <w:rPr>
          <w:rFonts w:ascii="Arial" w:eastAsia="Arial" w:hAnsi="Arial" w:cs="Arial"/>
          <w:sz w:val="16"/>
          <w:szCs w:val="16"/>
        </w:rPr>
        <w:t xml:space="preserve">    </w:t>
      </w:r>
      <w:r>
        <w:rPr>
          <w:rFonts w:ascii="Arial" w:eastAsia="Arial" w:hAnsi="Arial" w:cs="Arial"/>
          <w:sz w:val="16"/>
          <w:szCs w:val="16"/>
        </w:rPr>
        <w:t>III. Análisis preliminar…………………………………………………………………….…</w:t>
      </w:r>
      <w:r w:rsidR="00F42EE6">
        <w:rPr>
          <w:rFonts w:ascii="Arial" w:eastAsia="Arial" w:hAnsi="Arial" w:cs="Arial"/>
          <w:sz w:val="16"/>
          <w:szCs w:val="16"/>
        </w:rPr>
        <w:t>..</w:t>
      </w:r>
      <w:r>
        <w:rPr>
          <w:rFonts w:ascii="Arial" w:eastAsia="Arial" w:hAnsi="Arial" w:cs="Arial"/>
          <w:sz w:val="16"/>
          <w:szCs w:val="16"/>
        </w:rPr>
        <w:t>………</w:t>
      </w:r>
      <w:r w:rsidRPr="002F0F05">
        <w:rPr>
          <w:rFonts w:ascii="Arial" w:eastAsia="Arial" w:hAnsi="Arial" w:cs="Arial"/>
          <w:sz w:val="14"/>
          <w:szCs w:val="14"/>
        </w:rPr>
        <w:t>....</w:t>
      </w:r>
      <w:r w:rsidR="002F0F05">
        <w:rPr>
          <w:rFonts w:ascii="Arial" w:eastAsia="Arial" w:hAnsi="Arial" w:cs="Arial"/>
          <w:sz w:val="16"/>
          <w:szCs w:val="16"/>
        </w:rPr>
        <w:t>..4</w:t>
      </w:r>
    </w:p>
    <w:p w14:paraId="1A9A2047" w14:textId="6A9A4CB5" w:rsidR="006C1DC5" w:rsidRDefault="00781BFC">
      <w:pPr>
        <w:ind w:right="616" w:firstLine="720"/>
        <w:rPr>
          <w:rFonts w:ascii="Arial" w:eastAsia="Arial" w:hAnsi="Arial" w:cs="Arial"/>
          <w:sz w:val="16"/>
          <w:szCs w:val="16"/>
        </w:rPr>
      </w:pPr>
      <w:r>
        <w:rPr>
          <w:rFonts w:ascii="Arial" w:eastAsia="Arial" w:hAnsi="Arial" w:cs="Arial"/>
          <w:sz w:val="16"/>
          <w:szCs w:val="16"/>
        </w:rPr>
        <w:t xml:space="preserve"> </w:t>
      </w:r>
      <w:r w:rsidR="00F42EE6">
        <w:rPr>
          <w:rFonts w:ascii="Arial" w:eastAsia="Arial" w:hAnsi="Arial" w:cs="Arial"/>
          <w:sz w:val="16"/>
          <w:szCs w:val="16"/>
        </w:rPr>
        <w:t xml:space="preserve">    </w:t>
      </w:r>
      <w:r>
        <w:rPr>
          <w:rFonts w:ascii="Arial" w:eastAsia="Arial" w:hAnsi="Arial" w:cs="Arial"/>
          <w:sz w:val="16"/>
          <w:szCs w:val="16"/>
        </w:rPr>
        <w:t xml:space="preserve"> Apartado I. Decisión…………………………………………………………………………</w:t>
      </w:r>
      <w:r w:rsidR="00F42EE6">
        <w:rPr>
          <w:rFonts w:ascii="Arial" w:eastAsia="Arial" w:hAnsi="Arial" w:cs="Arial"/>
          <w:sz w:val="16"/>
          <w:szCs w:val="16"/>
        </w:rPr>
        <w:t>..</w:t>
      </w:r>
      <w:r>
        <w:rPr>
          <w:rFonts w:ascii="Arial" w:eastAsia="Arial" w:hAnsi="Arial" w:cs="Arial"/>
          <w:sz w:val="16"/>
          <w:szCs w:val="16"/>
        </w:rPr>
        <w:t>………….</w:t>
      </w:r>
      <w:r w:rsidR="002F0F05">
        <w:rPr>
          <w:rFonts w:ascii="Arial" w:eastAsia="Arial" w:hAnsi="Arial" w:cs="Arial"/>
          <w:sz w:val="16"/>
          <w:szCs w:val="16"/>
        </w:rPr>
        <w:t>4</w:t>
      </w:r>
    </w:p>
    <w:p w14:paraId="27BF872C" w14:textId="3CCECCA1" w:rsidR="00F42EE6" w:rsidRDefault="00781BFC" w:rsidP="00F42EE6">
      <w:pPr>
        <w:ind w:right="616" w:firstLine="720"/>
        <w:rPr>
          <w:rFonts w:ascii="Arial" w:eastAsia="Arial" w:hAnsi="Arial" w:cs="Arial"/>
          <w:sz w:val="16"/>
          <w:szCs w:val="16"/>
        </w:rPr>
      </w:pPr>
      <w:r>
        <w:rPr>
          <w:rFonts w:ascii="Arial" w:eastAsia="Arial" w:hAnsi="Arial" w:cs="Arial"/>
          <w:sz w:val="16"/>
          <w:szCs w:val="16"/>
        </w:rPr>
        <w:t xml:space="preserve">  </w:t>
      </w:r>
      <w:r w:rsidR="00F42EE6">
        <w:rPr>
          <w:rFonts w:ascii="Arial" w:eastAsia="Arial" w:hAnsi="Arial" w:cs="Arial"/>
          <w:sz w:val="16"/>
          <w:szCs w:val="16"/>
        </w:rPr>
        <w:t xml:space="preserve">    </w:t>
      </w:r>
      <w:r>
        <w:rPr>
          <w:rFonts w:ascii="Arial" w:eastAsia="Arial" w:hAnsi="Arial" w:cs="Arial"/>
          <w:sz w:val="16"/>
          <w:szCs w:val="16"/>
        </w:rPr>
        <w:t>Apartado II. Desarrollo y justificación de la decisión………………………………………</w:t>
      </w:r>
      <w:r w:rsidR="00F42EE6">
        <w:rPr>
          <w:rFonts w:ascii="Arial" w:eastAsia="Arial" w:hAnsi="Arial" w:cs="Arial"/>
          <w:sz w:val="16"/>
          <w:szCs w:val="16"/>
        </w:rPr>
        <w:t>..</w:t>
      </w:r>
      <w:r>
        <w:rPr>
          <w:rFonts w:ascii="Arial" w:eastAsia="Arial" w:hAnsi="Arial" w:cs="Arial"/>
          <w:sz w:val="16"/>
          <w:szCs w:val="16"/>
        </w:rPr>
        <w:t>………..</w:t>
      </w:r>
      <w:r>
        <w:rPr>
          <w:rFonts w:ascii="Arial" w:eastAsia="Arial" w:hAnsi="Arial" w:cs="Arial"/>
          <w:sz w:val="8"/>
          <w:szCs w:val="8"/>
        </w:rPr>
        <w:t xml:space="preserve"> </w:t>
      </w:r>
      <w:r w:rsidR="002F0F05">
        <w:rPr>
          <w:rFonts w:ascii="Arial" w:eastAsia="Arial" w:hAnsi="Arial" w:cs="Arial"/>
          <w:sz w:val="16"/>
          <w:szCs w:val="16"/>
        </w:rPr>
        <w:t>5</w:t>
      </w:r>
    </w:p>
    <w:p w14:paraId="764FC189" w14:textId="464C2E4A" w:rsidR="006C1DC5" w:rsidRPr="00F42EE6" w:rsidRDefault="00F42EE6" w:rsidP="00F42EE6">
      <w:pPr>
        <w:ind w:left="720" w:right="616"/>
        <w:rPr>
          <w:rFonts w:ascii="Arial" w:eastAsia="Arial" w:hAnsi="Arial" w:cs="Arial"/>
          <w:sz w:val="16"/>
          <w:szCs w:val="16"/>
        </w:rPr>
      </w:pPr>
      <w:r>
        <w:rPr>
          <w:rFonts w:ascii="Arial" w:eastAsia="Arial" w:hAnsi="Arial" w:cs="Arial"/>
          <w:sz w:val="16"/>
          <w:szCs w:val="16"/>
        </w:rPr>
        <w:t xml:space="preserve">      </w:t>
      </w:r>
      <w:r w:rsidR="00781BFC">
        <w:rPr>
          <w:rFonts w:ascii="Arial" w:eastAsia="Arial" w:hAnsi="Arial" w:cs="Arial"/>
          <w:sz w:val="16"/>
          <w:szCs w:val="16"/>
        </w:rPr>
        <w:t>IV. Resolutivos.…………………………………………………………………………………</w:t>
      </w:r>
      <w:r>
        <w:rPr>
          <w:rFonts w:ascii="Arial" w:eastAsia="Arial" w:hAnsi="Arial" w:cs="Arial"/>
          <w:sz w:val="16"/>
          <w:szCs w:val="16"/>
        </w:rPr>
        <w:t>.</w:t>
      </w:r>
      <w:r w:rsidR="00781BFC">
        <w:rPr>
          <w:rFonts w:ascii="Arial" w:eastAsia="Arial" w:hAnsi="Arial" w:cs="Arial"/>
          <w:sz w:val="16"/>
          <w:szCs w:val="16"/>
        </w:rPr>
        <w:t>....…...</w:t>
      </w:r>
      <w:r w:rsidR="00781BFC">
        <w:rPr>
          <w:rFonts w:ascii="Arial" w:eastAsia="Arial" w:hAnsi="Arial" w:cs="Arial"/>
          <w:sz w:val="6"/>
          <w:szCs w:val="6"/>
        </w:rPr>
        <w:t>.</w:t>
      </w:r>
      <w:r w:rsidR="002F0F05">
        <w:rPr>
          <w:rFonts w:ascii="Arial" w:eastAsia="Arial" w:hAnsi="Arial" w:cs="Arial"/>
          <w:sz w:val="6"/>
          <w:szCs w:val="6"/>
        </w:rPr>
        <w:t>.....</w:t>
      </w:r>
      <w:r w:rsidR="002F0F05">
        <w:rPr>
          <w:rFonts w:ascii="Arial" w:eastAsia="Arial" w:hAnsi="Arial" w:cs="Arial"/>
          <w:sz w:val="16"/>
          <w:szCs w:val="16"/>
        </w:rPr>
        <w:t>9</w:t>
      </w:r>
    </w:p>
    <w:p w14:paraId="6CC0AB30" w14:textId="77777777" w:rsidR="006C1DC5" w:rsidRDefault="006C1DC5">
      <w:pPr>
        <w:spacing w:line="360" w:lineRule="auto"/>
        <w:ind w:left="2465" w:right="616" w:hanging="140"/>
        <w:jc w:val="center"/>
        <w:rPr>
          <w:rFonts w:ascii="Arial" w:eastAsia="Arial" w:hAnsi="Arial" w:cs="Arial"/>
          <w:b/>
          <w:sz w:val="8"/>
          <w:szCs w:val="8"/>
        </w:rPr>
      </w:pPr>
    </w:p>
    <w:p w14:paraId="36744B8C" w14:textId="77777777" w:rsidR="006C1DC5" w:rsidRDefault="00781BFC">
      <w:pPr>
        <w:spacing w:line="360" w:lineRule="auto"/>
        <w:ind w:left="3881" w:right="2324" w:hanging="140"/>
        <w:rPr>
          <w:rFonts w:ascii="Arial" w:eastAsia="Arial" w:hAnsi="Arial" w:cs="Arial"/>
          <w:b/>
          <w:sz w:val="16"/>
          <w:szCs w:val="16"/>
        </w:rPr>
      </w:pPr>
      <w:r>
        <w:rPr>
          <w:rFonts w:ascii="Arial" w:eastAsia="Arial" w:hAnsi="Arial" w:cs="Arial"/>
          <w:b/>
          <w:sz w:val="16"/>
          <w:szCs w:val="16"/>
        </w:rPr>
        <w:t xml:space="preserve"> Glosario</w:t>
      </w:r>
    </w:p>
    <w:tbl>
      <w:tblPr>
        <w:tblStyle w:val="a"/>
        <w:tblW w:w="7229" w:type="dxa"/>
        <w:tblInd w:w="851" w:type="dxa"/>
        <w:tblLayout w:type="fixed"/>
        <w:tblLook w:val="0400" w:firstRow="0" w:lastRow="0" w:firstColumn="0" w:lastColumn="0" w:noHBand="0" w:noVBand="1"/>
      </w:tblPr>
      <w:tblGrid>
        <w:gridCol w:w="2693"/>
        <w:gridCol w:w="4536"/>
      </w:tblGrid>
      <w:tr w:rsidR="006C1DC5" w14:paraId="2EDED53A" w14:textId="77777777" w:rsidTr="002E474E">
        <w:trPr>
          <w:trHeight w:val="578"/>
        </w:trPr>
        <w:tc>
          <w:tcPr>
            <w:tcW w:w="2693" w:type="dxa"/>
            <w:shd w:val="clear" w:color="auto" w:fill="auto"/>
          </w:tcPr>
          <w:p w14:paraId="2682FE1F"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Denunciante:</w:t>
            </w:r>
          </w:p>
          <w:p w14:paraId="0A5BB0F3"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 xml:space="preserve">Denunciados: </w:t>
            </w:r>
          </w:p>
          <w:p w14:paraId="7AA00AE7"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Código Electoral:</w:t>
            </w:r>
          </w:p>
          <w:p w14:paraId="68CF3BB3"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Fiscalía Anticorrupción:</w:t>
            </w:r>
          </w:p>
          <w:p w14:paraId="7E48D662" w14:textId="77777777" w:rsidR="0087045B" w:rsidRDefault="0087045B" w:rsidP="002E474E">
            <w:pPr>
              <w:spacing w:line="276" w:lineRule="auto"/>
              <w:ind w:left="-541" w:firstLine="541"/>
              <w:jc w:val="both"/>
              <w:rPr>
                <w:rFonts w:ascii="Arial" w:eastAsia="Arial" w:hAnsi="Arial" w:cs="Arial"/>
                <w:b/>
                <w:sz w:val="16"/>
                <w:szCs w:val="16"/>
              </w:rPr>
            </w:pPr>
          </w:p>
          <w:p w14:paraId="71321E90" w14:textId="727143F4"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Instituto Local:</w:t>
            </w:r>
          </w:p>
        </w:tc>
        <w:tc>
          <w:tcPr>
            <w:tcW w:w="4536" w:type="dxa"/>
            <w:shd w:val="clear" w:color="auto" w:fill="auto"/>
          </w:tcPr>
          <w:p w14:paraId="2ACB60AB" w14:textId="77777777" w:rsidR="006C1DC5" w:rsidRDefault="00781BFC">
            <w:pPr>
              <w:spacing w:line="276" w:lineRule="auto"/>
              <w:ind w:right="518"/>
              <w:jc w:val="both"/>
              <w:rPr>
                <w:rFonts w:ascii="Arial" w:eastAsia="Arial" w:hAnsi="Arial" w:cs="Arial"/>
                <w:sz w:val="16"/>
                <w:szCs w:val="16"/>
              </w:rPr>
            </w:pPr>
            <w:r>
              <w:rPr>
                <w:rFonts w:ascii="Arial" w:eastAsia="Arial" w:hAnsi="Arial" w:cs="Arial"/>
                <w:sz w:val="16"/>
                <w:szCs w:val="16"/>
              </w:rPr>
              <w:t>María Teresa Jiménez Esquivel.</w:t>
            </w:r>
          </w:p>
          <w:p w14:paraId="57483864"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Martha Cecilia Márquez Alvarado.</w:t>
            </w:r>
          </w:p>
          <w:p w14:paraId="08A83DFB" w14:textId="7502E144" w:rsidR="006C1DC5" w:rsidRDefault="002E474E">
            <w:pPr>
              <w:spacing w:line="276" w:lineRule="auto"/>
              <w:ind w:right="178"/>
              <w:jc w:val="both"/>
              <w:rPr>
                <w:rFonts w:ascii="Arial" w:eastAsia="Arial" w:hAnsi="Arial" w:cs="Arial"/>
                <w:sz w:val="16"/>
                <w:szCs w:val="16"/>
              </w:rPr>
            </w:pPr>
            <w:r>
              <w:rPr>
                <w:rFonts w:ascii="Arial" w:eastAsia="Arial" w:hAnsi="Arial" w:cs="Arial"/>
                <w:sz w:val="16"/>
                <w:szCs w:val="16"/>
              </w:rPr>
              <w:t>Código Electoral del Estado de Aguascalientes</w:t>
            </w:r>
            <w:r w:rsidR="00781BFC">
              <w:rPr>
                <w:rFonts w:ascii="Arial" w:eastAsia="Arial" w:hAnsi="Arial" w:cs="Arial"/>
                <w:sz w:val="16"/>
                <w:szCs w:val="16"/>
              </w:rPr>
              <w:t>.</w:t>
            </w:r>
          </w:p>
          <w:p w14:paraId="395E7E02"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Fiscalía Especializada en el Combate a la Corrupción del Estado de Aguascalientes.</w:t>
            </w:r>
          </w:p>
          <w:p w14:paraId="7914D290"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Instituto Estatal Electoral.</w:t>
            </w:r>
          </w:p>
        </w:tc>
      </w:tr>
      <w:tr w:rsidR="006C1DC5" w14:paraId="0587E009" w14:textId="77777777" w:rsidTr="002E474E">
        <w:trPr>
          <w:trHeight w:val="578"/>
        </w:trPr>
        <w:tc>
          <w:tcPr>
            <w:tcW w:w="2693" w:type="dxa"/>
            <w:shd w:val="clear" w:color="auto" w:fill="auto"/>
          </w:tcPr>
          <w:p w14:paraId="5B7C4BF1"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Reglamento del Senado:</w:t>
            </w:r>
          </w:p>
          <w:p w14:paraId="4A7A44ED"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Secretario Ejecutivo:</w:t>
            </w:r>
          </w:p>
          <w:p w14:paraId="4FB312E9"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Senado/Senado de la República:</w:t>
            </w:r>
          </w:p>
          <w:p w14:paraId="55DD373A" w14:textId="77777777" w:rsidR="0087045B" w:rsidRDefault="0087045B" w:rsidP="002E474E">
            <w:pPr>
              <w:spacing w:line="276" w:lineRule="auto"/>
              <w:ind w:left="-541" w:firstLine="541"/>
              <w:jc w:val="both"/>
              <w:rPr>
                <w:rFonts w:ascii="Arial" w:eastAsia="Arial" w:hAnsi="Arial" w:cs="Arial"/>
                <w:b/>
                <w:sz w:val="16"/>
                <w:szCs w:val="16"/>
              </w:rPr>
            </w:pPr>
          </w:p>
          <w:p w14:paraId="23E9542E" w14:textId="24546CC3"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PAN:</w:t>
            </w:r>
          </w:p>
          <w:p w14:paraId="494F32E4"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PEL:</w:t>
            </w:r>
          </w:p>
          <w:p w14:paraId="7E6027EC"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PES:</w:t>
            </w:r>
          </w:p>
          <w:p w14:paraId="49E8736F"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PT:</w:t>
            </w:r>
          </w:p>
          <w:p w14:paraId="75A135F9"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PVEM:</w:t>
            </w:r>
          </w:p>
          <w:p w14:paraId="696851B6" w14:textId="77777777" w:rsidR="006C1DC5" w:rsidRDefault="00781BFC"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t>Tribunal Electoral:</w:t>
            </w:r>
          </w:p>
          <w:p w14:paraId="5DF57E3E" w14:textId="4C220ED5" w:rsidR="0087045B" w:rsidRDefault="0087045B" w:rsidP="002E474E">
            <w:pPr>
              <w:spacing w:line="276" w:lineRule="auto"/>
              <w:ind w:left="-541" w:firstLine="541"/>
              <w:jc w:val="both"/>
              <w:rPr>
                <w:rFonts w:ascii="Arial" w:eastAsia="Arial" w:hAnsi="Arial" w:cs="Arial"/>
                <w:b/>
                <w:sz w:val="16"/>
                <w:szCs w:val="16"/>
              </w:rPr>
            </w:pPr>
            <w:r>
              <w:rPr>
                <w:rFonts w:ascii="Arial" w:eastAsia="Arial" w:hAnsi="Arial" w:cs="Arial"/>
                <w:b/>
                <w:sz w:val="16"/>
                <w:szCs w:val="16"/>
              </w:rPr>
              <w:lastRenderedPageBreak/>
              <w:t>SCJN:</w:t>
            </w:r>
          </w:p>
        </w:tc>
        <w:tc>
          <w:tcPr>
            <w:tcW w:w="4536" w:type="dxa"/>
            <w:shd w:val="clear" w:color="auto" w:fill="auto"/>
          </w:tcPr>
          <w:p w14:paraId="41D09BC2" w14:textId="4B55596C"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lastRenderedPageBreak/>
              <w:t xml:space="preserve">Reglamento del Senado de la República. </w:t>
            </w:r>
          </w:p>
          <w:p w14:paraId="7AF44AE6"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 xml:space="preserve">Secretario Ejecutivo del Instituto Estatal Electoral. </w:t>
            </w:r>
          </w:p>
          <w:p w14:paraId="08EA4934"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La Cámara de Senadores del Congreso General de los Estados Unidos Mexicanos.</w:t>
            </w:r>
          </w:p>
          <w:p w14:paraId="1F06F5E2"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 xml:space="preserve">Partido Acción Nacional. </w:t>
            </w:r>
          </w:p>
          <w:p w14:paraId="69139619" w14:textId="3BC43BC3"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Proce</w:t>
            </w:r>
            <w:r w:rsidR="008115E5">
              <w:rPr>
                <w:rFonts w:ascii="Arial" w:eastAsia="Arial" w:hAnsi="Arial" w:cs="Arial"/>
                <w:sz w:val="16"/>
                <w:szCs w:val="16"/>
              </w:rPr>
              <w:t>so</w:t>
            </w:r>
            <w:r>
              <w:rPr>
                <w:rFonts w:ascii="Arial" w:eastAsia="Arial" w:hAnsi="Arial" w:cs="Arial"/>
                <w:sz w:val="16"/>
                <w:szCs w:val="16"/>
              </w:rPr>
              <w:t xml:space="preserve"> Electoral Local. </w:t>
            </w:r>
          </w:p>
          <w:p w14:paraId="2F72235C"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Procedimiento Especial Sancionador.</w:t>
            </w:r>
          </w:p>
          <w:p w14:paraId="48C357F0"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Partido del Trabajo.</w:t>
            </w:r>
          </w:p>
          <w:p w14:paraId="09117206"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Partido Verde Ecologista de México.</w:t>
            </w:r>
          </w:p>
          <w:p w14:paraId="7E789031" w14:textId="77777777" w:rsidR="006C1DC5" w:rsidRDefault="00781BFC">
            <w:pPr>
              <w:spacing w:line="276" w:lineRule="auto"/>
              <w:ind w:right="178"/>
              <w:jc w:val="both"/>
              <w:rPr>
                <w:rFonts w:ascii="Arial" w:eastAsia="Arial" w:hAnsi="Arial" w:cs="Arial"/>
                <w:sz w:val="16"/>
                <w:szCs w:val="16"/>
              </w:rPr>
            </w:pPr>
            <w:r>
              <w:rPr>
                <w:rFonts w:ascii="Arial" w:eastAsia="Arial" w:hAnsi="Arial" w:cs="Arial"/>
                <w:sz w:val="16"/>
                <w:szCs w:val="16"/>
              </w:rPr>
              <w:t>Tribunal Electoral del Estado de Aguascalientes.</w:t>
            </w:r>
          </w:p>
          <w:p w14:paraId="037DA0A1" w14:textId="691ED9EE" w:rsidR="0087045B" w:rsidRDefault="0087045B">
            <w:pPr>
              <w:spacing w:line="276" w:lineRule="auto"/>
              <w:ind w:right="178"/>
              <w:jc w:val="both"/>
              <w:rPr>
                <w:rFonts w:ascii="Arial" w:eastAsia="Arial" w:hAnsi="Arial" w:cs="Arial"/>
                <w:sz w:val="16"/>
                <w:szCs w:val="16"/>
              </w:rPr>
            </w:pPr>
            <w:r>
              <w:rPr>
                <w:rFonts w:ascii="Arial" w:eastAsia="Arial" w:hAnsi="Arial" w:cs="Arial"/>
                <w:sz w:val="16"/>
                <w:szCs w:val="16"/>
              </w:rPr>
              <w:lastRenderedPageBreak/>
              <w:t>Suprema Corte de Justicia de la Nación.</w:t>
            </w:r>
          </w:p>
        </w:tc>
      </w:tr>
    </w:tbl>
    <w:p w14:paraId="4FCF6DE4" w14:textId="77777777" w:rsidR="006C1DC5" w:rsidRDefault="00781BFC">
      <w:pPr>
        <w:pBdr>
          <w:top w:val="nil"/>
          <w:left w:val="nil"/>
          <w:bottom w:val="nil"/>
          <w:right w:val="nil"/>
          <w:between w:val="nil"/>
        </w:pBdr>
        <w:tabs>
          <w:tab w:val="left" w:pos="284"/>
        </w:tabs>
        <w:spacing w:line="360" w:lineRule="auto"/>
        <w:ind w:right="36"/>
        <w:jc w:val="both"/>
        <w:rPr>
          <w:rFonts w:ascii="Arial" w:eastAsia="Arial" w:hAnsi="Arial" w:cs="Arial"/>
          <w:b/>
          <w:sz w:val="24"/>
          <w:szCs w:val="24"/>
        </w:rPr>
      </w:pPr>
      <w:r>
        <w:rPr>
          <w:rFonts w:ascii="Arial" w:eastAsia="Arial" w:hAnsi="Arial" w:cs="Arial"/>
          <w:b/>
          <w:sz w:val="24"/>
          <w:szCs w:val="24"/>
        </w:rPr>
        <w:lastRenderedPageBreak/>
        <w:t>I. Contexto del caso.</w:t>
      </w:r>
      <w:r>
        <w:rPr>
          <w:rFonts w:ascii="Arial" w:eastAsia="Arial" w:hAnsi="Arial" w:cs="Arial"/>
          <w:b/>
          <w:sz w:val="24"/>
          <w:szCs w:val="24"/>
          <w:vertAlign w:val="superscript"/>
        </w:rPr>
        <w:footnoteReference w:id="2"/>
      </w:r>
    </w:p>
    <w:p w14:paraId="63B7A17D" w14:textId="77777777" w:rsidR="006C1DC5" w:rsidRDefault="006C1DC5" w:rsidP="00EC771E">
      <w:pPr>
        <w:pBdr>
          <w:top w:val="nil"/>
          <w:left w:val="nil"/>
          <w:bottom w:val="nil"/>
          <w:right w:val="nil"/>
          <w:between w:val="nil"/>
        </w:pBdr>
        <w:rPr>
          <w:color w:val="000000"/>
        </w:rPr>
      </w:pPr>
    </w:p>
    <w:p w14:paraId="16BB1433" w14:textId="77777777" w:rsidR="006C1DC5" w:rsidRDefault="00781BFC">
      <w:pPr>
        <w:tabs>
          <w:tab w:val="left" w:pos="284"/>
        </w:tabs>
        <w:spacing w:line="360" w:lineRule="auto"/>
        <w:jc w:val="both"/>
        <w:rPr>
          <w:rFonts w:ascii="Arial" w:eastAsia="Arial" w:hAnsi="Arial" w:cs="Arial"/>
          <w:sz w:val="24"/>
          <w:szCs w:val="24"/>
        </w:rPr>
      </w:pPr>
      <w:r>
        <w:rPr>
          <w:rFonts w:ascii="Arial" w:eastAsia="Arial" w:hAnsi="Arial" w:cs="Arial"/>
          <w:b/>
          <w:sz w:val="24"/>
          <w:szCs w:val="24"/>
        </w:rPr>
        <w:t>1. PEL (2021-2022).</w:t>
      </w:r>
      <w:r>
        <w:rPr>
          <w:rFonts w:ascii="Arial" w:eastAsia="Arial" w:hAnsi="Arial" w:cs="Arial"/>
          <w:sz w:val="24"/>
          <w:szCs w:val="24"/>
        </w:rPr>
        <w:t xml:space="preserve"> El 7 de octubre de 2021, inició el proceso electoral local para renovar la gubernatura del estado de Aguascalientes.</w:t>
      </w:r>
      <w:r>
        <w:rPr>
          <w:rFonts w:ascii="Arial" w:eastAsia="Arial" w:hAnsi="Arial" w:cs="Arial"/>
          <w:sz w:val="24"/>
          <w:szCs w:val="24"/>
          <w:vertAlign w:val="superscript"/>
        </w:rPr>
        <w:footnoteReference w:id="3"/>
      </w:r>
    </w:p>
    <w:p w14:paraId="2202AF90" w14:textId="77777777" w:rsidR="006C1DC5" w:rsidRDefault="00781BFC">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sz w:val="24"/>
          <w:szCs w:val="24"/>
        </w:rPr>
        <w:t xml:space="preserve">2. Presentación de la proposición. </w:t>
      </w:r>
      <w:r>
        <w:rPr>
          <w:rFonts w:ascii="Arial" w:eastAsia="Arial" w:hAnsi="Arial" w:cs="Arial"/>
          <w:sz w:val="24"/>
          <w:szCs w:val="24"/>
        </w:rPr>
        <w:t xml:space="preserve">El 22 de febrero, el Senado de la República llevó a cabo una sesión ordinaria en la que, entre otras cuestiones, desahogó una proposición con punto de acuerdo a cargo de la entonces Senadora, Martha Cecilia Márquez Alvarado. </w:t>
      </w:r>
    </w:p>
    <w:p w14:paraId="5C15E248" w14:textId="77777777" w:rsidR="006C1DC5" w:rsidRDefault="00781BFC">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Esta proposición tenía como fin exhortar a diversas autoridades para esclarecer los hechos denunciados ante la Fiscalía Anticorrupción del Estado de Aguascalientes, relativos al ejercicio de recursos públicos del municipio capital. </w:t>
      </w:r>
    </w:p>
    <w:p w14:paraId="4E96BC1F" w14:textId="465080B4" w:rsidR="006C1DC5" w:rsidRPr="0087045B" w:rsidRDefault="00781BFC">
      <w:pPr>
        <w:tabs>
          <w:tab w:val="left" w:pos="284"/>
        </w:tabs>
        <w:spacing w:before="240" w:after="240" w:line="360" w:lineRule="auto"/>
        <w:ind w:right="40"/>
        <w:jc w:val="both"/>
        <w:rPr>
          <w:rFonts w:ascii="Arial" w:eastAsia="Arial" w:hAnsi="Arial" w:cs="Arial"/>
          <w:sz w:val="24"/>
          <w:szCs w:val="24"/>
        </w:rPr>
      </w:pPr>
      <w:r w:rsidRPr="0087045B">
        <w:rPr>
          <w:rFonts w:ascii="Arial" w:eastAsia="Arial" w:hAnsi="Arial" w:cs="Arial"/>
          <w:b/>
          <w:sz w:val="24"/>
          <w:szCs w:val="24"/>
        </w:rPr>
        <w:t xml:space="preserve">3. </w:t>
      </w:r>
      <w:r w:rsidR="0087045B">
        <w:rPr>
          <w:rFonts w:ascii="Arial" w:eastAsia="Arial" w:hAnsi="Arial" w:cs="Arial"/>
          <w:b/>
          <w:sz w:val="24"/>
          <w:szCs w:val="24"/>
        </w:rPr>
        <w:t xml:space="preserve">Denuncia. </w:t>
      </w:r>
      <w:r w:rsidRPr="0087045B">
        <w:rPr>
          <w:rFonts w:ascii="Arial" w:eastAsia="Arial" w:hAnsi="Arial" w:cs="Arial"/>
          <w:sz w:val="24"/>
          <w:szCs w:val="24"/>
        </w:rPr>
        <w:t xml:space="preserve">El 26 siguiente, la ciudadana María Teresa Jiménez Esquivel, en su calidad de precandidata a la Gubernatura del Estado, presentó una queja ante el Instituto Local, en contra de Martha Cecilia Márquez Alvarado, por la presentación y exposición de la proposición en comento, ya que, a su criterio, constituyó: </w:t>
      </w:r>
      <w:r w:rsidRPr="0087045B">
        <w:rPr>
          <w:rFonts w:ascii="Arial" w:eastAsia="Arial" w:hAnsi="Arial" w:cs="Arial"/>
          <w:b/>
          <w:sz w:val="24"/>
          <w:szCs w:val="24"/>
        </w:rPr>
        <w:t>a</w:t>
      </w:r>
      <w:r w:rsidRPr="0087045B">
        <w:rPr>
          <w:rFonts w:ascii="Arial" w:eastAsia="Arial" w:hAnsi="Arial" w:cs="Arial"/>
          <w:b/>
          <w:i/>
          <w:sz w:val="24"/>
          <w:szCs w:val="24"/>
        </w:rPr>
        <w:t>)</w:t>
      </w:r>
      <w:r w:rsidRPr="0087045B">
        <w:rPr>
          <w:rFonts w:ascii="Arial" w:eastAsia="Arial" w:hAnsi="Arial" w:cs="Arial"/>
          <w:sz w:val="24"/>
          <w:szCs w:val="24"/>
        </w:rPr>
        <w:t xml:space="preserve"> actos anticipados de campaña, </w:t>
      </w:r>
      <w:r w:rsidRPr="0087045B">
        <w:rPr>
          <w:rFonts w:ascii="Arial" w:eastAsia="Arial" w:hAnsi="Arial" w:cs="Arial"/>
          <w:b/>
          <w:i/>
          <w:sz w:val="24"/>
          <w:szCs w:val="24"/>
        </w:rPr>
        <w:t>b)</w:t>
      </w:r>
      <w:r w:rsidRPr="0087045B">
        <w:rPr>
          <w:rFonts w:ascii="Arial" w:eastAsia="Arial" w:hAnsi="Arial" w:cs="Arial"/>
          <w:sz w:val="24"/>
          <w:szCs w:val="24"/>
        </w:rPr>
        <w:t xml:space="preserve"> calumnia en su perjuicio y, </w:t>
      </w:r>
      <w:r w:rsidRPr="0087045B">
        <w:rPr>
          <w:rFonts w:ascii="Arial" w:eastAsia="Arial" w:hAnsi="Arial" w:cs="Arial"/>
          <w:b/>
          <w:i/>
          <w:sz w:val="24"/>
          <w:szCs w:val="24"/>
        </w:rPr>
        <w:t>c)</w:t>
      </w:r>
      <w:r w:rsidRPr="0087045B">
        <w:rPr>
          <w:rFonts w:ascii="Arial" w:eastAsia="Arial" w:hAnsi="Arial" w:cs="Arial"/>
          <w:b/>
          <w:sz w:val="24"/>
          <w:szCs w:val="24"/>
        </w:rPr>
        <w:t xml:space="preserve"> </w:t>
      </w:r>
      <w:r w:rsidRPr="0087045B">
        <w:rPr>
          <w:rFonts w:ascii="Arial" w:eastAsia="Arial" w:hAnsi="Arial" w:cs="Arial"/>
          <w:sz w:val="24"/>
          <w:szCs w:val="24"/>
        </w:rPr>
        <w:t xml:space="preserve">uso indebido de recursos públicos. </w:t>
      </w:r>
    </w:p>
    <w:p w14:paraId="07BBD48C" w14:textId="44C5C89B" w:rsidR="006C1DC5" w:rsidRDefault="007874DB">
      <w:pPr>
        <w:tabs>
          <w:tab w:val="left" w:pos="284"/>
        </w:tabs>
        <w:spacing w:before="240" w:after="240" w:line="360" w:lineRule="auto"/>
        <w:ind w:right="40"/>
        <w:jc w:val="both"/>
        <w:rPr>
          <w:rFonts w:ascii="Arial" w:eastAsia="Arial" w:hAnsi="Arial" w:cs="Arial"/>
          <w:sz w:val="24"/>
          <w:szCs w:val="24"/>
        </w:rPr>
      </w:pPr>
      <w:r w:rsidRPr="0087045B">
        <w:rPr>
          <w:rFonts w:ascii="Arial" w:eastAsia="Arial" w:hAnsi="Arial" w:cs="Arial"/>
          <w:b/>
          <w:sz w:val="24"/>
          <w:szCs w:val="24"/>
        </w:rPr>
        <w:t>4</w:t>
      </w:r>
      <w:r w:rsidR="00781BFC" w:rsidRPr="0087045B">
        <w:rPr>
          <w:rFonts w:ascii="Arial" w:eastAsia="Arial" w:hAnsi="Arial" w:cs="Arial"/>
          <w:b/>
          <w:sz w:val="24"/>
          <w:szCs w:val="24"/>
        </w:rPr>
        <w:t>. Admisión, audiencia</w:t>
      </w:r>
      <w:r w:rsidR="00781BFC">
        <w:rPr>
          <w:rFonts w:ascii="Arial" w:eastAsia="Arial" w:hAnsi="Arial" w:cs="Arial"/>
          <w:b/>
          <w:sz w:val="24"/>
          <w:szCs w:val="24"/>
        </w:rPr>
        <w:t xml:space="preserve"> de alegatos y remisión del expediente.</w:t>
      </w:r>
      <w:r w:rsidR="00781BFC">
        <w:rPr>
          <w:rFonts w:ascii="Arial" w:eastAsia="Arial" w:hAnsi="Arial" w:cs="Arial"/>
          <w:sz w:val="24"/>
          <w:szCs w:val="24"/>
        </w:rPr>
        <w:t xml:space="preserve"> Al día siguiente, el Secretario Ejecutivo admitió a trámite la denuncia y le asignó el número de expediente IEE/PES/013/2022. El 14 de marzo, se celebró la audiencia de pruebas y alegatos y, posteriormente, el Secretario Ejecutivo rindió el informe circunstanciado y remitió el expediente a este Tribunal. </w:t>
      </w:r>
    </w:p>
    <w:p w14:paraId="4BD5A5D2" w14:textId="0CA5002A" w:rsidR="006C1DC5" w:rsidRDefault="007874DB">
      <w:pPr>
        <w:tabs>
          <w:tab w:val="left" w:pos="284"/>
        </w:tabs>
        <w:spacing w:before="240" w:line="360" w:lineRule="auto"/>
        <w:ind w:right="40"/>
        <w:jc w:val="both"/>
        <w:rPr>
          <w:rFonts w:ascii="Arial" w:eastAsia="Arial" w:hAnsi="Arial" w:cs="Arial"/>
          <w:sz w:val="24"/>
          <w:szCs w:val="24"/>
        </w:rPr>
      </w:pPr>
      <w:r>
        <w:rPr>
          <w:rFonts w:ascii="Arial" w:eastAsia="Arial" w:hAnsi="Arial" w:cs="Arial"/>
          <w:b/>
          <w:sz w:val="24"/>
          <w:szCs w:val="24"/>
        </w:rPr>
        <w:t>5</w:t>
      </w:r>
      <w:r w:rsidR="00781BFC">
        <w:rPr>
          <w:rFonts w:ascii="Arial" w:eastAsia="Arial" w:hAnsi="Arial" w:cs="Arial"/>
          <w:b/>
          <w:sz w:val="24"/>
          <w:szCs w:val="24"/>
        </w:rPr>
        <w:t xml:space="preserve">. Turno, radicación y formulación del proyecto de resolución TEEA-PES-008/2022. </w:t>
      </w:r>
      <w:r w:rsidR="00781BFC">
        <w:rPr>
          <w:rFonts w:ascii="Arial" w:eastAsia="Arial" w:hAnsi="Arial" w:cs="Arial"/>
          <w:sz w:val="24"/>
          <w:szCs w:val="24"/>
        </w:rPr>
        <w:t>El 17 del mismo mes, la Magistrada Presidenta ordenó el registro del asunto con el número de expediente TEEA-PES-008/2022 y lo turnó a la Ponencia de la Magistrada Laura Hortensia Llamas Hernández.</w:t>
      </w:r>
    </w:p>
    <w:p w14:paraId="5E475483" w14:textId="77777777" w:rsidR="006C1DC5" w:rsidRDefault="00781BFC">
      <w:pPr>
        <w:tabs>
          <w:tab w:val="left" w:pos="284"/>
        </w:tabs>
        <w:spacing w:before="240" w:after="240" w:line="360" w:lineRule="auto"/>
        <w:ind w:right="40"/>
        <w:jc w:val="both"/>
        <w:rPr>
          <w:rFonts w:ascii="Arial" w:eastAsia="Arial" w:hAnsi="Arial" w:cs="Arial"/>
          <w:sz w:val="16"/>
          <w:szCs w:val="16"/>
        </w:rPr>
      </w:pPr>
      <w:r>
        <w:rPr>
          <w:rFonts w:ascii="Arial" w:eastAsia="Arial" w:hAnsi="Arial" w:cs="Arial"/>
          <w:b/>
          <w:sz w:val="24"/>
          <w:szCs w:val="24"/>
        </w:rPr>
        <w:t>II. Estudio preliminar</w:t>
      </w:r>
    </w:p>
    <w:p w14:paraId="7181FCA7" w14:textId="77777777" w:rsidR="006C1DC5" w:rsidRDefault="00781BFC">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sz w:val="24"/>
          <w:szCs w:val="24"/>
        </w:rPr>
        <w:t>1. Hechos denunciados</w:t>
      </w:r>
    </w:p>
    <w:p w14:paraId="22C6956C" w14:textId="77777777" w:rsidR="006C1DC5" w:rsidRDefault="00781BFC">
      <w:pPr>
        <w:tabs>
          <w:tab w:val="left" w:pos="284"/>
        </w:tabs>
        <w:spacing w:line="360" w:lineRule="auto"/>
        <w:ind w:right="40"/>
        <w:jc w:val="both"/>
        <w:rPr>
          <w:rFonts w:ascii="Arial" w:eastAsia="Arial" w:hAnsi="Arial" w:cs="Arial"/>
          <w:sz w:val="24"/>
          <w:szCs w:val="24"/>
        </w:rPr>
      </w:pPr>
      <w:r>
        <w:rPr>
          <w:rFonts w:ascii="Arial" w:eastAsia="Arial" w:hAnsi="Arial" w:cs="Arial"/>
          <w:b/>
          <w:sz w:val="24"/>
          <w:szCs w:val="24"/>
        </w:rPr>
        <w:t>1.1.</w:t>
      </w:r>
      <w:r>
        <w:rPr>
          <w:sz w:val="14"/>
          <w:szCs w:val="14"/>
        </w:rPr>
        <w:t xml:space="preserve"> </w:t>
      </w:r>
      <w:r>
        <w:rPr>
          <w:rFonts w:ascii="Arial" w:eastAsia="Arial" w:hAnsi="Arial" w:cs="Arial"/>
          <w:b/>
          <w:sz w:val="24"/>
          <w:szCs w:val="24"/>
        </w:rPr>
        <w:t xml:space="preserve">En contra de Martha Cecilia Márquez Alvarado. </w:t>
      </w:r>
      <w:r>
        <w:rPr>
          <w:rFonts w:ascii="Arial" w:eastAsia="Arial" w:hAnsi="Arial" w:cs="Arial"/>
          <w:sz w:val="24"/>
          <w:szCs w:val="24"/>
        </w:rPr>
        <w:t>La ciudadana María Teresa Jiménez Esquivel, precandidata del PAN a la Gubernatura del Estado, refiere que la denunciada realizó diversas infracciones a la normativa electoral,</w:t>
      </w:r>
      <w:r>
        <w:rPr>
          <w:rFonts w:ascii="Arial" w:eastAsia="Arial" w:hAnsi="Arial" w:cs="Arial"/>
          <w:b/>
          <w:sz w:val="24"/>
          <w:szCs w:val="24"/>
        </w:rPr>
        <w:t xml:space="preserve"> consistentes en actos anticipados </w:t>
      </w:r>
      <w:r>
        <w:rPr>
          <w:rFonts w:ascii="Arial" w:eastAsia="Arial" w:hAnsi="Arial" w:cs="Arial"/>
          <w:b/>
          <w:sz w:val="24"/>
          <w:szCs w:val="24"/>
        </w:rPr>
        <w:lastRenderedPageBreak/>
        <w:t>de campaña, uso indebido de los recursos públicos, así como calumnia en su perjuicio</w:t>
      </w:r>
      <w:r>
        <w:rPr>
          <w:rFonts w:ascii="Arial" w:eastAsia="Arial" w:hAnsi="Arial" w:cs="Arial"/>
          <w:sz w:val="24"/>
          <w:szCs w:val="24"/>
        </w:rPr>
        <w:t xml:space="preserve">, en atención a las opiniones originadas por la presentación y exposición de una proposición con punto de acuerdo el pasado 22 de febrero.  </w:t>
      </w:r>
    </w:p>
    <w:p w14:paraId="375F025D" w14:textId="77777777" w:rsidR="006C1DC5" w:rsidRDefault="006C1DC5">
      <w:pPr>
        <w:tabs>
          <w:tab w:val="left" w:pos="284"/>
        </w:tabs>
        <w:ind w:right="40"/>
        <w:jc w:val="both"/>
        <w:rPr>
          <w:rFonts w:ascii="Arial" w:eastAsia="Arial" w:hAnsi="Arial" w:cs="Arial"/>
          <w:b/>
          <w:sz w:val="24"/>
          <w:szCs w:val="24"/>
        </w:rPr>
      </w:pPr>
    </w:p>
    <w:p w14:paraId="52EA711E" w14:textId="77777777" w:rsidR="006C1DC5" w:rsidRDefault="00781BFC">
      <w:pPr>
        <w:tabs>
          <w:tab w:val="left" w:pos="284"/>
        </w:tabs>
        <w:spacing w:line="360" w:lineRule="auto"/>
        <w:ind w:right="40"/>
        <w:jc w:val="both"/>
        <w:rPr>
          <w:rFonts w:ascii="Arial" w:eastAsia="Arial" w:hAnsi="Arial" w:cs="Arial"/>
          <w:sz w:val="24"/>
          <w:szCs w:val="24"/>
        </w:rPr>
      </w:pPr>
      <w:r>
        <w:rPr>
          <w:rFonts w:ascii="Arial" w:eastAsia="Arial" w:hAnsi="Arial" w:cs="Arial"/>
          <w:b/>
          <w:sz w:val="24"/>
          <w:szCs w:val="24"/>
        </w:rPr>
        <w:t xml:space="preserve">1.2. En contra de los partidos políticos PT y PVEM. </w:t>
      </w:r>
      <w:r>
        <w:rPr>
          <w:rFonts w:ascii="Arial" w:eastAsia="Arial" w:hAnsi="Arial" w:cs="Arial"/>
          <w:sz w:val="24"/>
          <w:szCs w:val="24"/>
        </w:rPr>
        <w:t xml:space="preserve">La quejosa menciona que el PT y el PVEM </w:t>
      </w:r>
      <w:r>
        <w:rPr>
          <w:rFonts w:ascii="Arial" w:eastAsia="Arial" w:hAnsi="Arial" w:cs="Arial"/>
          <w:b/>
          <w:sz w:val="24"/>
          <w:szCs w:val="24"/>
        </w:rPr>
        <w:t xml:space="preserve">incumplieron su deber de cuidar </w:t>
      </w:r>
      <w:r>
        <w:rPr>
          <w:rFonts w:ascii="Arial" w:eastAsia="Arial" w:hAnsi="Arial" w:cs="Arial"/>
          <w:sz w:val="24"/>
          <w:szCs w:val="24"/>
        </w:rPr>
        <w:t>que la denunciada no incumpliera la normativa electoral.</w:t>
      </w:r>
    </w:p>
    <w:p w14:paraId="070262BE" w14:textId="0D90AB8F" w:rsidR="006C1DC5" w:rsidRDefault="00781BFC">
      <w:pPr>
        <w:tabs>
          <w:tab w:val="left" w:pos="284"/>
        </w:tabs>
        <w:spacing w:before="240" w:after="240" w:line="360" w:lineRule="auto"/>
        <w:jc w:val="both"/>
        <w:rPr>
          <w:rFonts w:ascii="Arial" w:eastAsia="Arial" w:hAnsi="Arial" w:cs="Arial"/>
          <w:sz w:val="24"/>
          <w:szCs w:val="24"/>
        </w:rPr>
      </w:pPr>
      <w:r>
        <w:rPr>
          <w:rFonts w:ascii="Arial" w:eastAsia="Arial" w:hAnsi="Arial" w:cs="Arial"/>
          <w:b/>
          <w:sz w:val="24"/>
          <w:szCs w:val="24"/>
        </w:rPr>
        <w:t>2. Defensa.</w:t>
      </w:r>
    </w:p>
    <w:p w14:paraId="0192DA82" w14:textId="77777777" w:rsidR="006C1DC5" w:rsidRDefault="00781BFC">
      <w:pPr>
        <w:tabs>
          <w:tab w:val="left" w:pos="284"/>
        </w:tabs>
        <w:spacing w:before="240" w:after="240" w:line="360" w:lineRule="auto"/>
        <w:jc w:val="both"/>
        <w:rPr>
          <w:rFonts w:ascii="Arial" w:eastAsia="Arial" w:hAnsi="Arial" w:cs="Arial"/>
          <w:sz w:val="24"/>
          <w:szCs w:val="24"/>
        </w:rPr>
      </w:pPr>
      <w:r>
        <w:rPr>
          <w:rFonts w:ascii="Arial" w:eastAsia="Arial" w:hAnsi="Arial" w:cs="Arial"/>
          <w:b/>
          <w:sz w:val="24"/>
          <w:szCs w:val="24"/>
        </w:rPr>
        <w:t xml:space="preserve">2.1.  La Senadora denunciada manifestó </w:t>
      </w:r>
      <w:r>
        <w:rPr>
          <w:rFonts w:ascii="Arial" w:eastAsia="Arial" w:hAnsi="Arial" w:cs="Arial"/>
          <w:sz w:val="24"/>
          <w:szCs w:val="24"/>
        </w:rPr>
        <w:t xml:space="preserve">que el mensaje que se le imputa, se expresó en el ejercicio su encargo como Senadora de la República. Asimismo, menciona que su participación está amparada por el ejercicio de su libertad de expresión, en el marco del debate público y vigoroso. </w:t>
      </w:r>
    </w:p>
    <w:p w14:paraId="79D56BA3" w14:textId="77777777" w:rsidR="006C1DC5" w:rsidRDefault="00781BFC">
      <w:pPr>
        <w:tabs>
          <w:tab w:val="left" w:pos="284"/>
        </w:tabs>
        <w:spacing w:before="240" w:after="240" w:line="360" w:lineRule="auto"/>
        <w:jc w:val="both"/>
        <w:rPr>
          <w:rFonts w:ascii="Arial" w:eastAsia="Arial" w:hAnsi="Arial" w:cs="Arial"/>
          <w:sz w:val="24"/>
          <w:szCs w:val="24"/>
        </w:rPr>
      </w:pPr>
      <w:r>
        <w:rPr>
          <w:rFonts w:ascii="Arial" w:eastAsia="Arial" w:hAnsi="Arial" w:cs="Arial"/>
          <w:b/>
          <w:sz w:val="24"/>
          <w:szCs w:val="24"/>
        </w:rPr>
        <w:t xml:space="preserve">2.2. Los partidos políticos denunciados niegan </w:t>
      </w:r>
      <w:r>
        <w:rPr>
          <w:rFonts w:ascii="Arial" w:eastAsia="Arial" w:hAnsi="Arial" w:cs="Arial"/>
          <w:sz w:val="24"/>
          <w:szCs w:val="24"/>
        </w:rPr>
        <w:t>que la denunciada sea la precandidata de sus institutos políticos, ya que internamente no sostuvieron una contienda en el marco de la precampaña, y por tanto, no hay lugar a la vinculación de cualquier acto presuntamente ilegal.</w:t>
      </w:r>
    </w:p>
    <w:p w14:paraId="0B8F5830" w14:textId="77777777" w:rsidR="006C1DC5" w:rsidRDefault="00781BFC">
      <w:pPr>
        <w:tabs>
          <w:tab w:val="left" w:pos="284"/>
        </w:tabs>
        <w:spacing w:before="240" w:after="240" w:line="360" w:lineRule="auto"/>
        <w:jc w:val="both"/>
        <w:rPr>
          <w:rFonts w:ascii="Arial" w:eastAsia="Arial" w:hAnsi="Arial" w:cs="Arial"/>
          <w:b/>
          <w:sz w:val="6"/>
          <w:szCs w:val="6"/>
        </w:rPr>
      </w:pPr>
      <w:r>
        <w:rPr>
          <w:rFonts w:ascii="Arial" w:eastAsia="Arial" w:hAnsi="Arial" w:cs="Arial"/>
          <w:b/>
          <w:sz w:val="24"/>
          <w:szCs w:val="24"/>
        </w:rPr>
        <w:t xml:space="preserve">3. Descripción de los medios de prueba. </w:t>
      </w:r>
      <w:r>
        <w:rPr>
          <w:rFonts w:ascii="Arial" w:eastAsia="Arial" w:hAnsi="Arial" w:cs="Arial"/>
          <w:sz w:val="24"/>
          <w:szCs w:val="24"/>
        </w:rPr>
        <w:t>Como se advierte, de la audiencia de pruebas y alegatos, a la parte denunciante le fueron admitidas y desahogadas las probanzas siguientes:</w:t>
      </w:r>
    </w:p>
    <w:p w14:paraId="1536CDC8" w14:textId="77777777" w:rsidR="006C1DC5" w:rsidRDefault="00781BFC" w:rsidP="0087045B">
      <w:pPr>
        <w:tabs>
          <w:tab w:val="left" w:pos="284"/>
        </w:tabs>
        <w:spacing w:before="240" w:line="360" w:lineRule="auto"/>
        <w:jc w:val="both"/>
        <w:rPr>
          <w:rFonts w:ascii="Arial" w:eastAsia="Arial" w:hAnsi="Arial" w:cs="Arial"/>
          <w:b/>
          <w:sz w:val="24"/>
          <w:szCs w:val="24"/>
        </w:rPr>
      </w:pPr>
      <w:r>
        <w:rPr>
          <w:rFonts w:ascii="Arial" w:eastAsia="Arial" w:hAnsi="Arial" w:cs="Arial"/>
          <w:b/>
          <w:sz w:val="24"/>
          <w:szCs w:val="24"/>
        </w:rPr>
        <w:t>3.1. Pruebas aportadas por la parte denunciante:</w:t>
      </w:r>
    </w:p>
    <w:tbl>
      <w:tblPr>
        <w:tblStyle w:val="a0"/>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2685"/>
        <w:gridCol w:w="6269"/>
      </w:tblGrid>
      <w:tr w:rsidR="006C1DC5" w14:paraId="4C59BF12" w14:textId="77777777" w:rsidTr="0087045B">
        <w:trPr>
          <w:trHeight w:val="180"/>
        </w:trPr>
        <w:tc>
          <w:tcPr>
            <w:tcW w:w="675" w:type="dxa"/>
            <w:tcBorders>
              <w:top w:val="single" w:sz="8" w:space="0" w:color="A5A5A5"/>
              <w:left w:val="single" w:sz="8" w:space="0" w:color="A5A5A5"/>
              <w:bottom w:val="single" w:sz="8" w:space="0" w:color="A5A5A5"/>
              <w:right w:val="nil"/>
            </w:tcBorders>
            <w:shd w:val="clear" w:color="auto" w:fill="A5A5A5"/>
            <w:tcMar>
              <w:top w:w="100" w:type="dxa"/>
              <w:left w:w="100" w:type="dxa"/>
              <w:bottom w:w="100" w:type="dxa"/>
              <w:right w:w="100" w:type="dxa"/>
            </w:tcMar>
          </w:tcPr>
          <w:p w14:paraId="728128CD" w14:textId="77777777" w:rsidR="006C1DC5" w:rsidRDefault="00781BFC">
            <w:pPr>
              <w:tabs>
                <w:tab w:val="left" w:pos="284"/>
              </w:tabs>
              <w:jc w:val="center"/>
              <w:rPr>
                <w:rFonts w:ascii="Arial" w:eastAsia="Arial" w:hAnsi="Arial" w:cs="Arial"/>
                <w:b/>
                <w:sz w:val="18"/>
                <w:szCs w:val="18"/>
              </w:rPr>
            </w:pPr>
            <w:r>
              <w:rPr>
                <w:rFonts w:ascii="Arial" w:eastAsia="Arial" w:hAnsi="Arial" w:cs="Arial"/>
                <w:b/>
                <w:sz w:val="18"/>
                <w:szCs w:val="18"/>
              </w:rPr>
              <w:t>#</w:t>
            </w:r>
          </w:p>
        </w:tc>
        <w:tc>
          <w:tcPr>
            <w:tcW w:w="2685" w:type="dxa"/>
            <w:tcBorders>
              <w:top w:val="single" w:sz="8" w:space="0" w:color="A5A5A5"/>
              <w:left w:val="nil"/>
              <w:bottom w:val="single" w:sz="8" w:space="0" w:color="A5A5A5"/>
              <w:right w:val="nil"/>
            </w:tcBorders>
            <w:shd w:val="clear" w:color="auto" w:fill="A5A5A5"/>
            <w:tcMar>
              <w:top w:w="100" w:type="dxa"/>
              <w:left w:w="100" w:type="dxa"/>
              <w:bottom w:w="100" w:type="dxa"/>
              <w:right w:w="100" w:type="dxa"/>
            </w:tcMar>
          </w:tcPr>
          <w:p w14:paraId="600734AF" w14:textId="77777777" w:rsidR="006C1DC5" w:rsidRDefault="00781BFC">
            <w:pPr>
              <w:tabs>
                <w:tab w:val="left" w:pos="284"/>
              </w:tabs>
              <w:jc w:val="center"/>
              <w:rPr>
                <w:rFonts w:ascii="Arial" w:eastAsia="Arial" w:hAnsi="Arial" w:cs="Arial"/>
                <w:b/>
                <w:sz w:val="18"/>
                <w:szCs w:val="18"/>
              </w:rPr>
            </w:pPr>
            <w:r>
              <w:rPr>
                <w:rFonts w:ascii="Arial" w:eastAsia="Arial" w:hAnsi="Arial" w:cs="Arial"/>
                <w:b/>
                <w:sz w:val="18"/>
                <w:szCs w:val="18"/>
              </w:rPr>
              <w:t>Prueba</w:t>
            </w:r>
          </w:p>
        </w:tc>
        <w:tc>
          <w:tcPr>
            <w:tcW w:w="6269" w:type="dxa"/>
            <w:tcBorders>
              <w:top w:val="single" w:sz="8" w:space="0" w:color="A5A5A5"/>
              <w:left w:val="nil"/>
              <w:bottom w:val="single" w:sz="8" w:space="0" w:color="A5A5A5"/>
              <w:right w:val="single" w:sz="8" w:space="0" w:color="A5A5A5"/>
            </w:tcBorders>
            <w:shd w:val="clear" w:color="auto" w:fill="A5A5A5"/>
            <w:tcMar>
              <w:top w:w="100" w:type="dxa"/>
              <w:left w:w="100" w:type="dxa"/>
              <w:bottom w:w="100" w:type="dxa"/>
              <w:right w:w="100" w:type="dxa"/>
            </w:tcMar>
          </w:tcPr>
          <w:p w14:paraId="0F7D134A" w14:textId="77777777" w:rsidR="006C1DC5" w:rsidRDefault="00781BFC">
            <w:pPr>
              <w:tabs>
                <w:tab w:val="left" w:pos="284"/>
              </w:tabs>
              <w:jc w:val="center"/>
              <w:rPr>
                <w:rFonts w:ascii="Arial" w:eastAsia="Arial" w:hAnsi="Arial" w:cs="Arial"/>
                <w:b/>
                <w:sz w:val="18"/>
                <w:szCs w:val="18"/>
              </w:rPr>
            </w:pPr>
            <w:r>
              <w:rPr>
                <w:rFonts w:ascii="Arial" w:eastAsia="Arial" w:hAnsi="Arial" w:cs="Arial"/>
                <w:b/>
                <w:sz w:val="18"/>
                <w:szCs w:val="18"/>
              </w:rPr>
              <w:t>Consistente en</w:t>
            </w:r>
          </w:p>
        </w:tc>
      </w:tr>
      <w:tr w:rsidR="006C1DC5" w14:paraId="42641369" w14:textId="77777777" w:rsidTr="00C50429">
        <w:trPr>
          <w:trHeight w:val="181"/>
        </w:trPr>
        <w:tc>
          <w:tcPr>
            <w:tcW w:w="675"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tcPr>
          <w:p w14:paraId="2A03F06E" w14:textId="77777777" w:rsidR="006C1DC5" w:rsidRPr="007874DB" w:rsidRDefault="00781BFC" w:rsidP="00F42EE6">
            <w:pPr>
              <w:tabs>
                <w:tab w:val="left" w:pos="284"/>
              </w:tabs>
              <w:jc w:val="center"/>
              <w:rPr>
                <w:rFonts w:ascii="Arial" w:eastAsia="Arial" w:hAnsi="Arial" w:cs="Arial"/>
                <w:b/>
                <w:bCs/>
                <w:sz w:val="18"/>
                <w:szCs w:val="18"/>
              </w:rPr>
            </w:pPr>
            <w:r w:rsidRPr="007874DB">
              <w:rPr>
                <w:rFonts w:ascii="Arial" w:eastAsia="Arial" w:hAnsi="Arial" w:cs="Arial"/>
                <w:b/>
                <w:bCs/>
                <w:sz w:val="18"/>
                <w:szCs w:val="18"/>
              </w:rPr>
              <w:t>1</w:t>
            </w:r>
          </w:p>
        </w:tc>
        <w:tc>
          <w:tcPr>
            <w:tcW w:w="268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tcPr>
          <w:p w14:paraId="742B6C19" w14:textId="77777777" w:rsidR="006C1DC5" w:rsidRPr="0087045B" w:rsidRDefault="00781BFC" w:rsidP="0087045B">
            <w:pPr>
              <w:pStyle w:val="Sinespaciado"/>
              <w:rPr>
                <w:rFonts w:ascii="Arial" w:eastAsia="Arial" w:hAnsi="Arial" w:cs="Arial"/>
                <w:sz w:val="18"/>
                <w:szCs w:val="18"/>
              </w:rPr>
            </w:pPr>
            <w:r w:rsidRPr="0087045B">
              <w:rPr>
                <w:rFonts w:ascii="Arial" w:eastAsia="Arial" w:hAnsi="Arial" w:cs="Arial"/>
                <w:sz w:val="18"/>
                <w:szCs w:val="18"/>
              </w:rPr>
              <w:t>Técnica</w:t>
            </w:r>
          </w:p>
        </w:tc>
        <w:tc>
          <w:tcPr>
            <w:tcW w:w="626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tcPr>
          <w:p w14:paraId="7FDAB883" w14:textId="77777777" w:rsidR="00F42EE6" w:rsidRPr="0087045B" w:rsidRDefault="00781BFC" w:rsidP="0087045B">
            <w:pPr>
              <w:pStyle w:val="Sinespaciado"/>
              <w:rPr>
                <w:rFonts w:ascii="Arial" w:eastAsia="Arial" w:hAnsi="Arial" w:cs="Arial"/>
                <w:sz w:val="18"/>
                <w:szCs w:val="18"/>
              </w:rPr>
            </w:pPr>
            <w:r w:rsidRPr="0087045B">
              <w:rPr>
                <w:rFonts w:ascii="Arial" w:eastAsia="Arial" w:hAnsi="Arial" w:cs="Arial"/>
                <w:sz w:val="18"/>
                <w:szCs w:val="18"/>
              </w:rPr>
              <w:t>Dirección electrónica</w:t>
            </w:r>
          </w:p>
          <w:p w14:paraId="40DEE781" w14:textId="34E993E0" w:rsidR="006C1DC5" w:rsidRPr="0087045B" w:rsidRDefault="00781BFC" w:rsidP="0087045B">
            <w:pPr>
              <w:pStyle w:val="Sinespaciado"/>
              <w:rPr>
                <w:rFonts w:ascii="Arial" w:eastAsia="Arial" w:hAnsi="Arial" w:cs="Arial"/>
                <w:sz w:val="18"/>
                <w:szCs w:val="18"/>
              </w:rPr>
            </w:pPr>
            <w:r w:rsidRPr="0087045B">
              <w:rPr>
                <w:rFonts w:ascii="Arial" w:eastAsia="Arial" w:hAnsi="Arial" w:cs="Arial"/>
                <w:sz w:val="18"/>
                <w:szCs w:val="18"/>
              </w:rPr>
              <w:t>https://www.senado.gob.mx/64/version_estenografica/2022_2_22/2205.</w:t>
            </w:r>
          </w:p>
        </w:tc>
      </w:tr>
      <w:tr w:rsidR="006C1DC5" w14:paraId="5E1E0BA7" w14:textId="77777777" w:rsidTr="0087045B">
        <w:trPr>
          <w:trHeight w:val="25"/>
        </w:trPr>
        <w:tc>
          <w:tcPr>
            <w:tcW w:w="675" w:type="dxa"/>
            <w:tcBorders>
              <w:top w:val="nil"/>
              <w:left w:val="single" w:sz="8" w:space="0" w:color="C9C9C9"/>
              <w:bottom w:val="single" w:sz="8" w:space="0" w:color="C9C9C9"/>
              <w:right w:val="single" w:sz="8" w:space="0" w:color="C9C9C9"/>
            </w:tcBorders>
            <w:tcMar>
              <w:top w:w="100" w:type="dxa"/>
              <w:left w:w="100" w:type="dxa"/>
              <w:bottom w:w="100" w:type="dxa"/>
              <w:right w:w="100" w:type="dxa"/>
            </w:tcMar>
          </w:tcPr>
          <w:p w14:paraId="14496AEE" w14:textId="77777777" w:rsidR="006C1DC5" w:rsidRPr="007874DB" w:rsidRDefault="00781BFC" w:rsidP="00F42EE6">
            <w:pPr>
              <w:tabs>
                <w:tab w:val="left" w:pos="284"/>
              </w:tabs>
              <w:jc w:val="center"/>
              <w:rPr>
                <w:rFonts w:ascii="Arial" w:eastAsia="Arial" w:hAnsi="Arial" w:cs="Arial"/>
                <w:b/>
                <w:bCs/>
                <w:sz w:val="18"/>
                <w:szCs w:val="18"/>
              </w:rPr>
            </w:pPr>
            <w:r w:rsidRPr="007874DB">
              <w:rPr>
                <w:rFonts w:ascii="Arial" w:eastAsia="Arial" w:hAnsi="Arial" w:cs="Arial"/>
                <w:b/>
                <w:bCs/>
                <w:sz w:val="18"/>
                <w:szCs w:val="18"/>
              </w:rPr>
              <w:t>2</w:t>
            </w:r>
          </w:p>
        </w:tc>
        <w:tc>
          <w:tcPr>
            <w:tcW w:w="2685" w:type="dxa"/>
            <w:tcBorders>
              <w:top w:val="nil"/>
              <w:left w:val="nil"/>
              <w:bottom w:val="single" w:sz="8" w:space="0" w:color="C9C9C9"/>
              <w:right w:val="single" w:sz="8" w:space="0" w:color="C9C9C9"/>
            </w:tcBorders>
            <w:tcMar>
              <w:top w:w="100" w:type="dxa"/>
              <w:left w:w="100" w:type="dxa"/>
              <w:bottom w:w="100" w:type="dxa"/>
              <w:right w:w="100" w:type="dxa"/>
            </w:tcMar>
          </w:tcPr>
          <w:p w14:paraId="5F97E062" w14:textId="77777777" w:rsidR="006C1DC5" w:rsidRPr="0087045B" w:rsidRDefault="00781BFC" w:rsidP="0087045B">
            <w:pPr>
              <w:pStyle w:val="Sinespaciado"/>
              <w:rPr>
                <w:rFonts w:ascii="Arial" w:eastAsia="Arial" w:hAnsi="Arial" w:cs="Arial"/>
                <w:sz w:val="18"/>
                <w:szCs w:val="18"/>
              </w:rPr>
            </w:pPr>
            <w:r w:rsidRPr="0087045B">
              <w:rPr>
                <w:rFonts w:ascii="Arial" w:eastAsia="Arial" w:hAnsi="Arial" w:cs="Arial"/>
                <w:sz w:val="18"/>
                <w:szCs w:val="18"/>
              </w:rPr>
              <w:t>Instrumental de actuaciones</w:t>
            </w:r>
          </w:p>
        </w:tc>
        <w:tc>
          <w:tcPr>
            <w:tcW w:w="6269" w:type="dxa"/>
            <w:tcBorders>
              <w:top w:val="nil"/>
              <w:left w:val="nil"/>
              <w:bottom w:val="single" w:sz="8" w:space="0" w:color="C9C9C9"/>
              <w:right w:val="single" w:sz="8" w:space="0" w:color="C9C9C9"/>
            </w:tcBorders>
            <w:tcMar>
              <w:top w:w="100" w:type="dxa"/>
              <w:left w:w="100" w:type="dxa"/>
              <w:bottom w:w="100" w:type="dxa"/>
              <w:right w:w="100" w:type="dxa"/>
            </w:tcMar>
          </w:tcPr>
          <w:p w14:paraId="60880B15" w14:textId="77777777" w:rsidR="006C1DC5" w:rsidRPr="0087045B" w:rsidRDefault="00781BFC" w:rsidP="0087045B">
            <w:pPr>
              <w:pStyle w:val="Sinespaciado"/>
              <w:rPr>
                <w:rFonts w:ascii="Arial" w:eastAsia="Arial" w:hAnsi="Arial" w:cs="Arial"/>
                <w:sz w:val="18"/>
                <w:szCs w:val="18"/>
              </w:rPr>
            </w:pPr>
            <w:r w:rsidRPr="0087045B">
              <w:rPr>
                <w:rFonts w:ascii="Arial" w:eastAsia="Arial" w:hAnsi="Arial" w:cs="Arial"/>
                <w:sz w:val="18"/>
                <w:szCs w:val="18"/>
              </w:rPr>
              <w:t>Todo lo que por su contenido y alcance favorezca a sus intereses.</w:t>
            </w:r>
          </w:p>
        </w:tc>
      </w:tr>
      <w:tr w:rsidR="006C1DC5" w14:paraId="61C7679C" w14:textId="77777777" w:rsidTr="0087045B">
        <w:trPr>
          <w:trHeight w:val="25"/>
        </w:trPr>
        <w:tc>
          <w:tcPr>
            <w:tcW w:w="675"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tcPr>
          <w:p w14:paraId="41B1FC81" w14:textId="77777777" w:rsidR="006C1DC5" w:rsidRPr="007874DB" w:rsidRDefault="00781BFC" w:rsidP="00F42EE6">
            <w:pPr>
              <w:tabs>
                <w:tab w:val="left" w:pos="284"/>
              </w:tabs>
              <w:jc w:val="center"/>
              <w:rPr>
                <w:rFonts w:ascii="Arial" w:eastAsia="Arial" w:hAnsi="Arial" w:cs="Arial"/>
                <w:b/>
                <w:bCs/>
                <w:sz w:val="18"/>
                <w:szCs w:val="18"/>
              </w:rPr>
            </w:pPr>
            <w:r w:rsidRPr="007874DB">
              <w:rPr>
                <w:rFonts w:ascii="Arial" w:eastAsia="Arial" w:hAnsi="Arial" w:cs="Arial"/>
                <w:b/>
                <w:bCs/>
                <w:sz w:val="18"/>
                <w:szCs w:val="18"/>
              </w:rPr>
              <w:t>3</w:t>
            </w:r>
          </w:p>
        </w:tc>
        <w:tc>
          <w:tcPr>
            <w:tcW w:w="268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tcPr>
          <w:p w14:paraId="6430BDD9" w14:textId="77777777" w:rsidR="006C1DC5" w:rsidRPr="0087045B" w:rsidRDefault="00781BFC" w:rsidP="0087045B">
            <w:pPr>
              <w:pStyle w:val="Sinespaciado"/>
              <w:rPr>
                <w:rFonts w:ascii="Arial" w:eastAsia="Arial" w:hAnsi="Arial" w:cs="Arial"/>
                <w:sz w:val="18"/>
                <w:szCs w:val="18"/>
              </w:rPr>
            </w:pPr>
            <w:r w:rsidRPr="0087045B">
              <w:rPr>
                <w:rFonts w:ascii="Arial" w:eastAsia="Arial" w:hAnsi="Arial" w:cs="Arial"/>
                <w:sz w:val="18"/>
                <w:szCs w:val="18"/>
              </w:rPr>
              <w:t>Presuncional legal y humana</w:t>
            </w:r>
          </w:p>
        </w:tc>
        <w:tc>
          <w:tcPr>
            <w:tcW w:w="6269"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tcPr>
          <w:p w14:paraId="3CF017A2" w14:textId="77777777" w:rsidR="006C1DC5" w:rsidRPr="0087045B" w:rsidRDefault="00781BFC" w:rsidP="0087045B">
            <w:pPr>
              <w:pStyle w:val="Sinespaciado"/>
              <w:rPr>
                <w:rFonts w:ascii="Arial" w:eastAsia="Arial" w:hAnsi="Arial" w:cs="Arial"/>
                <w:sz w:val="18"/>
                <w:szCs w:val="18"/>
              </w:rPr>
            </w:pPr>
            <w:r w:rsidRPr="0087045B">
              <w:rPr>
                <w:rFonts w:ascii="Arial" w:eastAsia="Arial" w:hAnsi="Arial" w:cs="Arial"/>
                <w:sz w:val="18"/>
                <w:szCs w:val="18"/>
              </w:rPr>
              <w:t>Todo lo que por su contenido y alcance favorezca a sus intereses.</w:t>
            </w:r>
          </w:p>
        </w:tc>
      </w:tr>
    </w:tbl>
    <w:p w14:paraId="6F8754A2" w14:textId="77777777" w:rsidR="00F42EE6" w:rsidRPr="0087045B" w:rsidRDefault="00F42EE6" w:rsidP="0087045B">
      <w:pPr>
        <w:pStyle w:val="Sinespaciado"/>
        <w:rPr>
          <w:rFonts w:eastAsia="Arial"/>
        </w:rPr>
      </w:pPr>
    </w:p>
    <w:p w14:paraId="2E1E7D26" w14:textId="04E56604" w:rsidR="006C1DC5" w:rsidRDefault="00781BFC" w:rsidP="0087045B">
      <w:pPr>
        <w:tabs>
          <w:tab w:val="left" w:pos="284"/>
        </w:tabs>
        <w:spacing w:before="240" w:line="360" w:lineRule="auto"/>
        <w:jc w:val="both"/>
        <w:rPr>
          <w:rFonts w:ascii="Arial" w:eastAsia="Arial" w:hAnsi="Arial" w:cs="Arial"/>
          <w:b/>
          <w:sz w:val="24"/>
          <w:szCs w:val="24"/>
        </w:rPr>
      </w:pPr>
      <w:r>
        <w:rPr>
          <w:rFonts w:ascii="Arial" w:eastAsia="Arial" w:hAnsi="Arial" w:cs="Arial"/>
          <w:b/>
          <w:sz w:val="24"/>
          <w:szCs w:val="24"/>
        </w:rPr>
        <w:t>3.2. Pruebas aportadas por la Senadora denunciada</w:t>
      </w:r>
    </w:p>
    <w:tbl>
      <w:tblPr>
        <w:tblStyle w:val="a1"/>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0"/>
        <w:gridCol w:w="2685"/>
        <w:gridCol w:w="6254"/>
      </w:tblGrid>
      <w:tr w:rsidR="006C1DC5" w14:paraId="4209C323" w14:textId="77777777" w:rsidTr="0087045B">
        <w:trPr>
          <w:trHeight w:val="240"/>
        </w:trPr>
        <w:tc>
          <w:tcPr>
            <w:tcW w:w="690" w:type="dxa"/>
            <w:tcBorders>
              <w:top w:val="single" w:sz="8" w:space="0" w:color="A5A5A5"/>
              <w:left w:val="single" w:sz="8" w:space="0" w:color="A5A5A5"/>
              <w:bottom w:val="single" w:sz="8" w:space="0" w:color="A5A5A5"/>
              <w:right w:val="nil"/>
            </w:tcBorders>
            <w:shd w:val="clear" w:color="auto" w:fill="A5A5A5"/>
            <w:tcMar>
              <w:top w:w="100" w:type="dxa"/>
              <w:left w:w="100" w:type="dxa"/>
              <w:bottom w:w="100" w:type="dxa"/>
              <w:right w:w="100" w:type="dxa"/>
            </w:tcMar>
          </w:tcPr>
          <w:p w14:paraId="62B3F7B7" w14:textId="77777777" w:rsidR="006C1DC5" w:rsidRDefault="00781BFC">
            <w:pPr>
              <w:tabs>
                <w:tab w:val="left" w:pos="284"/>
              </w:tabs>
              <w:jc w:val="center"/>
              <w:rPr>
                <w:rFonts w:ascii="Arial" w:eastAsia="Arial" w:hAnsi="Arial" w:cs="Arial"/>
                <w:b/>
                <w:sz w:val="18"/>
                <w:szCs w:val="18"/>
              </w:rPr>
            </w:pPr>
            <w:r>
              <w:rPr>
                <w:rFonts w:ascii="Arial" w:eastAsia="Arial" w:hAnsi="Arial" w:cs="Arial"/>
                <w:b/>
                <w:sz w:val="18"/>
                <w:szCs w:val="18"/>
              </w:rPr>
              <w:t>#</w:t>
            </w:r>
          </w:p>
        </w:tc>
        <w:tc>
          <w:tcPr>
            <w:tcW w:w="2685" w:type="dxa"/>
            <w:tcBorders>
              <w:top w:val="single" w:sz="8" w:space="0" w:color="A5A5A5"/>
              <w:left w:val="nil"/>
              <w:bottom w:val="single" w:sz="8" w:space="0" w:color="A5A5A5"/>
              <w:right w:val="nil"/>
            </w:tcBorders>
            <w:shd w:val="clear" w:color="auto" w:fill="A5A5A5"/>
            <w:tcMar>
              <w:top w:w="100" w:type="dxa"/>
              <w:left w:w="100" w:type="dxa"/>
              <w:bottom w:w="100" w:type="dxa"/>
              <w:right w:w="100" w:type="dxa"/>
            </w:tcMar>
          </w:tcPr>
          <w:p w14:paraId="2D330A50" w14:textId="77777777" w:rsidR="006C1DC5" w:rsidRDefault="00781BFC">
            <w:pPr>
              <w:tabs>
                <w:tab w:val="left" w:pos="284"/>
              </w:tabs>
              <w:jc w:val="center"/>
              <w:rPr>
                <w:rFonts w:ascii="Arial" w:eastAsia="Arial" w:hAnsi="Arial" w:cs="Arial"/>
                <w:b/>
                <w:sz w:val="18"/>
                <w:szCs w:val="18"/>
              </w:rPr>
            </w:pPr>
            <w:r>
              <w:rPr>
                <w:rFonts w:ascii="Arial" w:eastAsia="Arial" w:hAnsi="Arial" w:cs="Arial"/>
                <w:b/>
                <w:sz w:val="18"/>
                <w:szCs w:val="18"/>
              </w:rPr>
              <w:t>Prueba</w:t>
            </w:r>
          </w:p>
        </w:tc>
        <w:tc>
          <w:tcPr>
            <w:tcW w:w="6254" w:type="dxa"/>
            <w:tcBorders>
              <w:top w:val="single" w:sz="8" w:space="0" w:color="A5A5A5"/>
              <w:left w:val="nil"/>
              <w:bottom w:val="single" w:sz="8" w:space="0" w:color="A5A5A5"/>
              <w:right w:val="single" w:sz="8" w:space="0" w:color="A5A5A5"/>
            </w:tcBorders>
            <w:shd w:val="clear" w:color="auto" w:fill="A5A5A5"/>
            <w:tcMar>
              <w:top w:w="100" w:type="dxa"/>
              <w:left w:w="100" w:type="dxa"/>
              <w:bottom w:w="100" w:type="dxa"/>
              <w:right w:w="100" w:type="dxa"/>
            </w:tcMar>
          </w:tcPr>
          <w:p w14:paraId="1A1F68F2" w14:textId="77777777" w:rsidR="006C1DC5" w:rsidRDefault="00781BFC">
            <w:pPr>
              <w:tabs>
                <w:tab w:val="left" w:pos="284"/>
              </w:tabs>
              <w:jc w:val="center"/>
              <w:rPr>
                <w:rFonts w:ascii="Arial" w:eastAsia="Arial" w:hAnsi="Arial" w:cs="Arial"/>
                <w:b/>
                <w:sz w:val="18"/>
                <w:szCs w:val="18"/>
              </w:rPr>
            </w:pPr>
            <w:r>
              <w:rPr>
                <w:rFonts w:ascii="Arial" w:eastAsia="Arial" w:hAnsi="Arial" w:cs="Arial"/>
                <w:b/>
                <w:sz w:val="18"/>
                <w:szCs w:val="18"/>
              </w:rPr>
              <w:t>Consistente en</w:t>
            </w:r>
          </w:p>
        </w:tc>
      </w:tr>
      <w:tr w:rsidR="006C1DC5" w14:paraId="4034DBCA" w14:textId="77777777" w:rsidTr="0087045B">
        <w:trPr>
          <w:trHeight w:val="25"/>
        </w:trPr>
        <w:tc>
          <w:tcPr>
            <w:tcW w:w="690"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tcPr>
          <w:p w14:paraId="0B8FEA8A" w14:textId="77777777" w:rsidR="006C1DC5" w:rsidRPr="007874DB" w:rsidRDefault="00781BFC">
            <w:pPr>
              <w:tabs>
                <w:tab w:val="left" w:pos="284"/>
              </w:tabs>
              <w:jc w:val="center"/>
              <w:rPr>
                <w:rFonts w:ascii="Arial" w:eastAsia="Arial" w:hAnsi="Arial" w:cs="Arial"/>
                <w:b/>
                <w:bCs/>
                <w:sz w:val="18"/>
                <w:szCs w:val="18"/>
              </w:rPr>
            </w:pPr>
            <w:r w:rsidRPr="007874DB">
              <w:rPr>
                <w:rFonts w:ascii="Arial" w:eastAsia="Arial" w:hAnsi="Arial" w:cs="Arial"/>
                <w:b/>
                <w:bCs/>
                <w:sz w:val="18"/>
                <w:szCs w:val="18"/>
              </w:rPr>
              <w:t>1</w:t>
            </w:r>
          </w:p>
        </w:tc>
        <w:tc>
          <w:tcPr>
            <w:tcW w:w="268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tcPr>
          <w:p w14:paraId="2B2554ED" w14:textId="77777777" w:rsidR="006C1DC5" w:rsidRDefault="00781BFC">
            <w:pPr>
              <w:tabs>
                <w:tab w:val="left" w:pos="284"/>
              </w:tabs>
              <w:jc w:val="both"/>
              <w:rPr>
                <w:rFonts w:ascii="Arial" w:eastAsia="Arial" w:hAnsi="Arial" w:cs="Arial"/>
                <w:sz w:val="18"/>
                <w:szCs w:val="18"/>
              </w:rPr>
            </w:pPr>
            <w:r>
              <w:rPr>
                <w:rFonts w:ascii="Arial" w:eastAsia="Arial" w:hAnsi="Arial" w:cs="Arial"/>
                <w:sz w:val="18"/>
                <w:szCs w:val="18"/>
              </w:rPr>
              <w:t>Instrumental de actuaciones</w:t>
            </w:r>
          </w:p>
        </w:tc>
        <w:tc>
          <w:tcPr>
            <w:tcW w:w="6254"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tcPr>
          <w:p w14:paraId="5237C2B1" w14:textId="77777777" w:rsidR="006C1DC5" w:rsidRDefault="00781BFC">
            <w:pPr>
              <w:tabs>
                <w:tab w:val="left" w:pos="284"/>
              </w:tabs>
              <w:jc w:val="both"/>
              <w:rPr>
                <w:rFonts w:ascii="Arial" w:eastAsia="Arial" w:hAnsi="Arial" w:cs="Arial"/>
                <w:sz w:val="18"/>
                <w:szCs w:val="18"/>
              </w:rPr>
            </w:pPr>
            <w:r>
              <w:rPr>
                <w:rFonts w:ascii="Arial" w:eastAsia="Arial" w:hAnsi="Arial" w:cs="Arial"/>
                <w:sz w:val="18"/>
                <w:szCs w:val="18"/>
              </w:rPr>
              <w:t>Todo lo que por su contenido y alcance favorezca a sus intereses.</w:t>
            </w:r>
          </w:p>
        </w:tc>
      </w:tr>
      <w:tr w:rsidR="006C1DC5" w14:paraId="17916436" w14:textId="77777777" w:rsidTr="0087045B">
        <w:trPr>
          <w:trHeight w:val="178"/>
        </w:trPr>
        <w:tc>
          <w:tcPr>
            <w:tcW w:w="690" w:type="dxa"/>
            <w:tcBorders>
              <w:top w:val="nil"/>
              <w:left w:val="single" w:sz="8" w:space="0" w:color="C9C9C9"/>
              <w:bottom w:val="single" w:sz="8" w:space="0" w:color="C9C9C9"/>
              <w:right w:val="single" w:sz="8" w:space="0" w:color="C9C9C9"/>
            </w:tcBorders>
            <w:tcMar>
              <w:top w:w="100" w:type="dxa"/>
              <w:left w:w="100" w:type="dxa"/>
              <w:bottom w:w="100" w:type="dxa"/>
              <w:right w:w="100" w:type="dxa"/>
            </w:tcMar>
          </w:tcPr>
          <w:p w14:paraId="46E0A5E8" w14:textId="77777777" w:rsidR="006C1DC5" w:rsidRPr="007874DB" w:rsidRDefault="00781BFC">
            <w:pPr>
              <w:tabs>
                <w:tab w:val="left" w:pos="284"/>
              </w:tabs>
              <w:jc w:val="center"/>
              <w:rPr>
                <w:rFonts w:ascii="Arial" w:eastAsia="Arial" w:hAnsi="Arial" w:cs="Arial"/>
                <w:b/>
                <w:bCs/>
                <w:sz w:val="18"/>
                <w:szCs w:val="18"/>
              </w:rPr>
            </w:pPr>
            <w:r w:rsidRPr="007874DB">
              <w:rPr>
                <w:rFonts w:ascii="Arial" w:eastAsia="Arial" w:hAnsi="Arial" w:cs="Arial"/>
                <w:b/>
                <w:bCs/>
                <w:sz w:val="18"/>
                <w:szCs w:val="18"/>
              </w:rPr>
              <w:t>2</w:t>
            </w:r>
          </w:p>
        </w:tc>
        <w:tc>
          <w:tcPr>
            <w:tcW w:w="2685" w:type="dxa"/>
            <w:tcBorders>
              <w:top w:val="nil"/>
              <w:left w:val="nil"/>
              <w:bottom w:val="single" w:sz="8" w:space="0" w:color="C9C9C9"/>
              <w:right w:val="single" w:sz="8" w:space="0" w:color="C9C9C9"/>
            </w:tcBorders>
            <w:tcMar>
              <w:top w:w="100" w:type="dxa"/>
              <w:left w:w="100" w:type="dxa"/>
              <w:bottom w:w="100" w:type="dxa"/>
              <w:right w:w="100" w:type="dxa"/>
            </w:tcMar>
          </w:tcPr>
          <w:p w14:paraId="334980BC" w14:textId="77777777" w:rsidR="006C1DC5" w:rsidRDefault="00781BFC">
            <w:pPr>
              <w:tabs>
                <w:tab w:val="left" w:pos="284"/>
              </w:tabs>
              <w:jc w:val="both"/>
              <w:rPr>
                <w:rFonts w:ascii="Arial" w:eastAsia="Arial" w:hAnsi="Arial" w:cs="Arial"/>
                <w:sz w:val="18"/>
                <w:szCs w:val="18"/>
              </w:rPr>
            </w:pPr>
            <w:r>
              <w:rPr>
                <w:rFonts w:ascii="Arial" w:eastAsia="Arial" w:hAnsi="Arial" w:cs="Arial"/>
                <w:sz w:val="18"/>
                <w:szCs w:val="18"/>
              </w:rPr>
              <w:t>Presuncional legal y humana</w:t>
            </w:r>
          </w:p>
        </w:tc>
        <w:tc>
          <w:tcPr>
            <w:tcW w:w="6254" w:type="dxa"/>
            <w:tcBorders>
              <w:top w:val="nil"/>
              <w:left w:val="nil"/>
              <w:bottom w:val="single" w:sz="8" w:space="0" w:color="C9C9C9"/>
              <w:right w:val="single" w:sz="8" w:space="0" w:color="C9C9C9"/>
            </w:tcBorders>
            <w:tcMar>
              <w:top w:w="100" w:type="dxa"/>
              <w:left w:w="100" w:type="dxa"/>
              <w:bottom w:w="100" w:type="dxa"/>
              <w:right w:w="100" w:type="dxa"/>
            </w:tcMar>
          </w:tcPr>
          <w:p w14:paraId="25DC82C4" w14:textId="77777777" w:rsidR="006C1DC5" w:rsidRDefault="00781BFC">
            <w:pPr>
              <w:tabs>
                <w:tab w:val="left" w:pos="284"/>
              </w:tabs>
              <w:jc w:val="both"/>
              <w:rPr>
                <w:rFonts w:ascii="Arial" w:eastAsia="Arial" w:hAnsi="Arial" w:cs="Arial"/>
                <w:sz w:val="18"/>
                <w:szCs w:val="18"/>
              </w:rPr>
            </w:pPr>
            <w:r>
              <w:rPr>
                <w:rFonts w:ascii="Arial" w:eastAsia="Arial" w:hAnsi="Arial" w:cs="Arial"/>
                <w:sz w:val="18"/>
                <w:szCs w:val="18"/>
              </w:rPr>
              <w:t>Todo lo que por su contenido y alcance favorezca a sus intereses.</w:t>
            </w:r>
          </w:p>
        </w:tc>
      </w:tr>
    </w:tbl>
    <w:p w14:paraId="7AB61928" w14:textId="0540979C" w:rsidR="006C1DC5" w:rsidRDefault="00781BFC" w:rsidP="0087045B">
      <w:pPr>
        <w:tabs>
          <w:tab w:val="left" w:pos="284"/>
        </w:tabs>
        <w:spacing w:before="240" w:line="360" w:lineRule="auto"/>
        <w:jc w:val="both"/>
        <w:rPr>
          <w:rFonts w:ascii="Arial" w:eastAsia="Arial" w:hAnsi="Arial" w:cs="Arial"/>
          <w:b/>
          <w:sz w:val="24"/>
          <w:szCs w:val="24"/>
        </w:rPr>
      </w:pPr>
      <w:r>
        <w:rPr>
          <w:rFonts w:ascii="Arial" w:eastAsia="Arial" w:hAnsi="Arial" w:cs="Arial"/>
          <w:b/>
          <w:sz w:val="24"/>
          <w:szCs w:val="24"/>
        </w:rPr>
        <w:t>3.3. Pruebas aportadas por el PT:</w:t>
      </w:r>
    </w:p>
    <w:tbl>
      <w:tblPr>
        <w:tblStyle w:val="a2"/>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0"/>
        <w:gridCol w:w="2685"/>
        <w:gridCol w:w="6254"/>
      </w:tblGrid>
      <w:tr w:rsidR="006C1DC5" w14:paraId="59B76984" w14:textId="77777777" w:rsidTr="0087045B">
        <w:trPr>
          <w:trHeight w:val="20"/>
        </w:trPr>
        <w:tc>
          <w:tcPr>
            <w:tcW w:w="690" w:type="dxa"/>
            <w:tcBorders>
              <w:top w:val="single" w:sz="8" w:space="0" w:color="A5A5A5"/>
              <w:left w:val="single" w:sz="8" w:space="0" w:color="A5A5A5"/>
              <w:bottom w:val="single" w:sz="8" w:space="0" w:color="A5A5A5"/>
              <w:right w:val="nil"/>
            </w:tcBorders>
            <w:shd w:val="clear" w:color="auto" w:fill="A5A5A5"/>
            <w:tcMar>
              <w:top w:w="100" w:type="dxa"/>
              <w:left w:w="100" w:type="dxa"/>
              <w:bottom w:w="100" w:type="dxa"/>
              <w:right w:w="100" w:type="dxa"/>
            </w:tcMar>
          </w:tcPr>
          <w:p w14:paraId="36F00AAB" w14:textId="77777777" w:rsidR="006C1DC5" w:rsidRPr="0087045B" w:rsidRDefault="00781BFC" w:rsidP="0087045B">
            <w:pPr>
              <w:pStyle w:val="Sinespaciado"/>
              <w:jc w:val="center"/>
              <w:rPr>
                <w:rFonts w:ascii="Arial" w:eastAsia="Arial" w:hAnsi="Arial" w:cs="Arial"/>
                <w:b/>
                <w:bCs/>
                <w:sz w:val="18"/>
                <w:szCs w:val="18"/>
              </w:rPr>
            </w:pPr>
            <w:r w:rsidRPr="0087045B">
              <w:rPr>
                <w:rFonts w:ascii="Arial" w:eastAsia="Arial" w:hAnsi="Arial" w:cs="Arial"/>
                <w:b/>
                <w:bCs/>
                <w:sz w:val="18"/>
                <w:szCs w:val="18"/>
              </w:rPr>
              <w:t>#</w:t>
            </w:r>
          </w:p>
        </w:tc>
        <w:tc>
          <w:tcPr>
            <w:tcW w:w="2685" w:type="dxa"/>
            <w:tcBorders>
              <w:top w:val="single" w:sz="8" w:space="0" w:color="A5A5A5"/>
              <w:left w:val="nil"/>
              <w:bottom w:val="single" w:sz="8" w:space="0" w:color="A5A5A5"/>
              <w:right w:val="nil"/>
            </w:tcBorders>
            <w:shd w:val="clear" w:color="auto" w:fill="A5A5A5"/>
            <w:tcMar>
              <w:top w:w="100" w:type="dxa"/>
              <w:left w:w="100" w:type="dxa"/>
              <w:bottom w:w="100" w:type="dxa"/>
              <w:right w:w="100" w:type="dxa"/>
            </w:tcMar>
          </w:tcPr>
          <w:p w14:paraId="31D614C5" w14:textId="77777777" w:rsidR="006C1DC5" w:rsidRPr="0087045B" w:rsidRDefault="00781BFC" w:rsidP="0087045B">
            <w:pPr>
              <w:pStyle w:val="Sinespaciado"/>
              <w:jc w:val="center"/>
              <w:rPr>
                <w:rFonts w:ascii="Arial" w:eastAsia="Arial" w:hAnsi="Arial" w:cs="Arial"/>
                <w:b/>
                <w:bCs/>
                <w:sz w:val="18"/>
                <w:szCs w:val="18"/>
              </w:rPr>
            </w:pPr>
            <w:r w:rsidRPr="0087045B">
              <w:rPr>
                <w:rFonts w:ascii="Arial" w:eastAsia="Arial" w:hAnsi="Arial" w:cs="Arial"/>
                <w:b/>
                <w:bCs/>
                <w:sz w:val="18"/>
                <w:szCs w:val="18"/>
              </w:rPr>
              <w:t>Prueba</w:t>
            </w:r>
          </w:p>
        </w:tc>
        <w:tc>
          <w:tcPr>
            <w:tcW w:w="6254" w:type="dxa"/>
            <w:tcBorders>
              <w:top w:val="single" w:sz="8" w:space="0" w:color="A5A5A5"/>
              <w:left w:val="nil"/>
              <w:bottom w:val="single" w:sz="8" w:space="0" w:color="A5A5A5"/>
              <w:right w:val="single" w:sz="8" w:space="0" w:color="A5A5A5"/>
            </w:tcBorders>
            <w:shd w:val="clear" w:color="auto" w:fill="A5A5A5"/>
            <w:tcMar>
              <w:top w:w="100" w:type="dxa"/>
              <w:left w:w="100" w:type="dxa"/>
              <w:bottom w:w="100" w:type="dxa"/>
              <w:right w:w="100" w:type="dxa"/>
            </w:tcMar>
          </w:tcPr>
          <w:p w14:paraId="7CE78A73" w14:textId="77777777" w:rsidR="006C1DC5" w:rsidRPr="0087045B" w:rsidRDefault="00781BFC" w:rsidP="0087045B">
            <w:pPr>
              <w:pStyle w:val="Sinespaciado"/>
              <w:jc w:val="center"/>
              <w:rPr>
                <w:rFonts w:ascii="Arial" w:eastAsia="Arial" w:hAnsi="Arial" w:cs="Arial"/>
                <w:b/>
                <w:bCs/>
                <w:sz w:val="18"/>
                <w:szCs w:val="18"/>
              </w:rPr>
            </w:pPr>
            <w:r w:rsidRPr="0087045B">
              <w:rPr>
                <w:rFonts w:ascii="Arial" w:eastAsia="Arial" w:hAnsi="Arial" w:cs="Arial"/>
                <w:b/>
                <w:bCs/>
                <w:sz w:val="18"/>
                <w:szCs w:val="18"/>
              </w:rPr>
              <w:t>Consistente en</w:t>
            </w:r>
          </w:p>
        </w:tc>
      </w:tr>
      <w:tr w:rsidR="006C1DC5" w14:paraId="6AC5E4A5" w14:textId="77777777" w:rsidTr="00C50429">
        <w:trPr>
          <w:trHeight w:val="292"/>
        </w:trPr>
        <w:tc>
          <w:tcPr>
            <w:tcW w:w="690" w:type="dxa"/>
            <w:tcBorders>
              <w:top w:val="nil"/>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tcPr>
          <w:p w14:paraId="6C57E403" w14:textId="77777777" w:rsidR="006C1DC5" w:rsidRPr="0087045B" w:rsidRDefault="00781BFC" w:rsidP="0087045B">
            <w:pPr>
              <w:pStyle w:val="Sinespaciado"/>
              <w:rPr>
                <w:rFonts w:ascii="Arial" w:eastAsia="Arial" w:hAnsi="Arial" w:cs="Arial"/>
                <w:bCs/>
                <w:sz w:val="18"/>
                <w:szCs w:val="18"/>
              </w:rPr>
            </w:pPr>
            <w:r w:rsidRPr="0087045B">
              <w:rPr>
                <w:rFonts w:ascii="Arial" w:eastAsia="Arial" w:hAnsi="Arial" w:cs="Arial"/>
                <w:bCs/>
                <w:sz w:val="18"/>
                <w:szCs w:val="18"/>
              </w:rPr>
              <w:t>1</w:t>
            </w:r>
          </w:p>
        </w:tc>
        <w:tc>
          <w:tcPr>
            <w:tcW w:w="2685"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tcPr>
          <w:p w14:paraId="02D338FC" w14:textId="77777777" w:rsidR="006C1DC5" w:rsidRPr="0087045B" w:rsidRDefault="00781BFC" w:rsidP="0087045B">
            <w:pPr>
              <w:pStyle w:val="Sinespaciado"/>
              <w:rPr>
                <w:rFonts w:ascii="Arial" w:eastAsia="Arial" w:hAnsi="Arial" w:cs="Arial"/>
                <w:sz w:val="18"/>
                <w:szCs w:val="18"/>
              </w:rPr>
            </w:pPr>
            <w:r w:rsidRPr="0087045B">
              <w:rPr>
                <w:rFonts w:ascii="Arial" w:eastAsia="Arial" w:hAnsi="Arial" w:cs="Arial"/>
                <w:sz w:val="18"/>
                <w:szCs w:val="18"/>
              </w:rPr>
              <w:t>Documental privada</w:t>
            </w:r>
          </w:p>
        </w:tc>
        <w:tc>
          <w:tcPr>
            <w:tcW w:w="6254" w:type="dxa"/>
            <w:tcBorders>
              <w:top w:val="nil"/>
              <w:left w:val="nil"/>
              <w:bottom w:val="single" w:sz="8" w:space="0" w:color="C9C9C9"/>
              <w:right w:val="single" w:sz="8" w:space="0" w:color="C9C9C9"/>
            </w:tcBorders>
            <w:shd w:val="clear" w:color="auto" w:fill="EDEDED"/>
            <w:tcMar>
              <w:top w:w="100" w:type="dxa"/>
              <w:left w:w="100" w:type="dxa"/>
              <w:bottom w:w="100" w:type="dxa"/>
              <w:right w:w="100" w:type="dxa"/>
            </w:tcMar>
          </w:tcPr>
          <w:p w14:paraId="7C3DD29E" w14:textId="77777777" w:rsidR="006C1DC5" w:rsidRPr="0087045B" w:rsidRDefault="00781BFC" w:rsidP="0087045B">
            <w:pPr>
              <w:pStyle w:val="Sinespaciado"/>
              <w:rPr>
                <w:rFonts w:ascii="Arial" w:eastAsia="Arial" w:hAnsi="Arial" w:cs="Arial"/>
                <w:sz w:val="18"/>
                <w:szCs w:val="18"/>
              </w:rPr>
            </w:pPr>
            <w:r w:rsidRPr="0087045B">
              <w:rPr>
                <w:rFonts w:ascii="Arial" w:eastAsia="Arial" w:hAnsi="Arial" w:cs="Arial"/>
                <w:sz w:val="18"/>
                <w:szCs w:val="18"/>
              </w:rPr>
              <w:t>Copia simple de credencial de elector y copia simple de acreditación como representante del PT ante el Instituto Local.</w:t>
            </w:r>
          </w:p>
        </w:tc>
      </w:tr>
    </w:tbl>
    <w:p w14:paraId="44E1786A" w14:textId="77777777" w:rsidR="006C1DC5" w:rsidRDefault="006C1DC5" w:rsidP="00F42EE6">
      <w:pPr>
        <w:pStyle w:val="Sinespaciado"/>
        <w:rPr>
          <w:rFonts w:eastAsia="Arial"/>
        </w:rPr>
      </w:pPr>
    </w:p>
    <w:p w14:paraId="18D558B2" w14:textId="2D4FDD66" w:rsidR="006C1DC5" w:rsidRDefault="00781BFC">
      <w:pPr>
        <w:tabs>
          <w:tab w:val="left" w:pos="284"/>
        </w:tabs>
        <w:spacing w:before="240" w:after="240" w:line="360" w:lineRule="auto"/>
        <w:jc w:val="both"/>
        <w:rPr>
          <w:rFonts w:ascii="Arial" w:eastAsia="Arial" w:hAnsi="Arial" w:cs="Arial"/>
          <w:sz w:val="24"/>
          <w:szCs w:val="24"/>
        </w:rPr>
      </w:pPr>
      <w:r>
        <w:rPr>
          <w:rFonts w:ascii="Arial" w:eastAsia="Arial" w:hAnsi="Arial" w:cs="Arial"/>
          <w:b/>
          <w:sz w:val="24"/>
          <w:szCs w:val="24"/>
        </w:rPr>
        <w:lastRenderedPageBreak/>
        <w:t>3.</w:t>
      </w:r>
      <w:r w:rsidR="00F42EE6">
        <w:rPr>
          <w:rFonts w:ascii="Arial" w:eastAsia="Arial" w:hAnsi="Arial" w:cs="Arial"/>
          <w:b/>
          <w:sz w:val="24"/>
          <w:szCs w:val="24"/>
        </w:rPr>
        <w:t>4</w:t>
      </w:r>
      <w:r>
        <w:rPr>
          <w:rFonts w:ascii="Arial" w:eastAsia="Arial" w:hAnsi="Arial" w:cs="Arial"/>
          <w:b/>
          <w:sz w:val="24"/>
          <w:szCs w:val="24"/>
        </w:rPr>
        <w:t xml:space="preserve">. Valoración de pruebas. </w:t>
      </w:r>
      <w:r>
        <w:rPr>
          <w:rFonts w:ascii="Arial" w:eastAsia="Arial" w:hAnsi="Arial" w:cs="Arial"/>
          <w:sz w:val="24"/>
          <w:szCs w:val="24"/>
        </w:rPr>
        <w:t>Las pruebas antes descritas, se valoran conforme al Código Electoral</w:t>
      </w:r>
      <w:r>
        <w:rPr>
          <w:rFonts w:ascii="Arial" w:eastAsia="Arial" w:hAnsi="Arial" w:cs="Arial"/>
          <w:sz w:val="24"/>
          <w:szCs w:val="24"/>
          <w:vertAlign w:val="superscript"/>
        </w:rPr>
        <w:footnoteReference w:id="4"/>
      </w:r>
      <w:r>
        <w:rPr>
          <w:rFonts w:ascii="Arial" w:eastAsia="Arial" w:hAnsi="Arial" w:cs="Arial"/>
          <w:sz w:val="24"/>
          <w:szCs w:val="24"/>
        </w:rPr>
        <w:t>.</w:t>
      </w:r>
    </w:p>
    <w:p w14:paraId="4BB86481" w14:textId="77777777" w:rsidR="006C1DC5" w:rsidRDefault="00781BFC" w:rsidP="0087045B">
      <w:pPr>
        <w:tabs>
          <w:tab w:val="left" w:pos="284"/>
        </w:tabs>
        <w:spacing w:before="240" w:line="360" w:lineRule="auto"/>
        <w:ind w:right="40"/>
        <w:jc w:val="both"/>
        <w:rPr>
          <w:rFonts w:ascii="Arial" w:eastAsia="Arial" w:hAnsi="Arial" w:cs="Arial"/>
          <w:sz w:val="24"/>
          <w:szCs w:val="24"/>
          <w:highlight w:val="yellow"/>
        </w:rPr>
      </w:pPr>
      <w:r>
        <w:rPr>
          <w:rFonts w:ascii="Arial" w:eastAsia="Arial" w:hAnsi="Arial" w:cs="Arial"/>
          <w:b/>
          <w:sz w:val="24"/>
          <w:szCs w:val="24"/>
        </w:rPr>
        <w:t xml:space="preserve">4. Hechos acreditados. </w:t>
      </w:r>
      <w:r>
        <w:rPr>
          <w:rFonts w:ascii="Arial" w:eastAsia="Arial" w:hAnsi="Arial" w:cs="Arial"/>
          <w:sz w:val="24"/>
          <w:szCs w:val="24"/>
        </w:rPr>
        <w:t>Los hechos relacionados con la controversia que han quedado acreditados, conforme a la relación de las pruebas, son los siguientes:</w:t>
      </w:r>
    </w:p>
    <w:p w14:paraId="7BF47968" w14:textId="77777777" w:rsidR="006C1DC5" w:rsidRDefault="00781BFC">
      <w:pPr>
        <w:tabs>
          <w:tab w:val="left" w:pos="284"/>
        </w:tabs>
        <w:spacing w:line="360" w:lineRule="auto"/>
        <w:ind w:right="40"/>
        <w:jc w:val="both"/>
        <w:rPr>
          <w:rFonts w:ascii="Arial" w:eastAsia="Arial" w:hAnsi="Arial" w:cs="Arial"/>
          <w:sz w:val="24"/>
          <w:szCs w:val="24"/>
        </w:rPr>
      </w:pPr>
      <w:r>
        <w:rPr>
          <w:rFonts w:ascii="Noto Sans Symbols" w:eastAsia="Noto Sans Symbols" w:hAnsi="Noto Sans Symbols" w:cs="Noto Sans Symbols"/>
          <w:sz w:val="22"/>
          <w:szCs w:val="22"/>
        </w:rPr>
        <w:t>●</w:t>
      </w:r>
      <w:r>
        <w:rPr>
          <w:sz w:val="14"/>
          <w:szCs w:val="14"/>
        </w:rPr>
        <w:t xml:space="preserve">     </w:t>
      </w:r>
      <w:r>
        <w:rPr>
          <w:rFonts w:ascii="Arial" w:eastAsia="Arial" w:hAnsi="Arial" w:cs="Arial"/>
          <w:sz w:val="24"/>
          <w:szCs w:val="24"/>
        </w:rPr>
        <w:t>La calidad de Martha Cecilia Márquez Alvarado como Senadora de la República, al día en que presentó la proposición con punto de acuerdo denunciada.</w:t>
      </w:r>
    </w:p>
    <w:p w14:paraId="4B7EC5E9" w14:textId="6BED4CCC" w:rsidR="006C1DC5" w:rsidRPr="00F42EE6" w:rsidRDefault="00781BFC" w:rsidP="0087045B">
      <w:pPr>
        <w:tabs>
          <w:tab w:val="left" w:pos="284"/>
        </w:tabs>
        <w:spacing w:after="240" w:line="360" w:lineRule="auto"/>
        <w:ind w:right="40"/>
        <w:jc w:val="both"/>
        <w:rPr>
          <w:rFonts w:ascii="Arial" w:eastAsia="Arial" w:hAnsi="Arial" w:cs="Arial"/>
          <w:sz w:val="24"/>
          <w:szCs w:val="24"/>
        </w:rPr>
      </w:pPr>
      <w:r>
        <w:rPr>
          <w:rFonts w:ascii="Noto Sans Symbols" w:eastAsia="Noto Sans Symbols" w:hAnsi="Noto Sans Symbols" w:cs="Noto Sans Symbols"/>
          <w:sz w:val="22"/>
          <w:szCs w:val="22"/>
        </w:rPr>
        <w:t>●</w:t>
      </w:r>
      <w:r>
        <w:rPr>
          <w:sz w:val="14"/>
          <w:szCs w:val="14"/>
        </w:rPr>
        <w:t xml:space="preserve">     </w:t>
      </w:r>
      <w:r>
        <w:rPr>
          <w:rFonts w:ascii="Arial" w:eastAsia="Arial" w:hAnsi="Arial" w:cs="Arial"/>
          <w:sz w:val="24"/>
          <w:szCs w:val="24"/>
        </w:rPr>
        <w:t>La celebración de la Sesión Ordinaria del Senado de la República del 22 de febrero de 2022, en la que la Senadora denunciada presentó la proposición con punto de acuerdo cuestionada.</w:t>
      </w:r>
    </w:p>
    <w:p w14:paraId="597B4FCA" w14:textId="77777777" w:rsidR="006C1DC5" w:rsidRDefault="00781BFC">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Pr>
          <w:rFonts w:ascii="Arial" w:eastAsia="Arial" w:hAnsi="Arial" w:cs="Arial"/>
          <w:b/>
          <w:sz w:val="24"/>
          <w:szCs w:val="24"/>
        </w:rPr>
        <w:t>III. Análisis preliminar</w:t>
      </w:r>
    </w:p>
    <w:p w14:paraId="6AB0D18C" w14:textId="77777777" w:rsidR="006C1DC5" w:rsidRDefault="006C1DC5" w:rsidP="00C50429">
      <w:pPr>
        <w:pStyle w:val="Sinespaciado"/>
        <w:rPr>
          <w:rFonts w:eastAsia="Arial"/>
        </w:rPr>
      </w:pPr>
    </w:p>
    <w:p w14:paraId="1C63C78C" w14:textId="77777777" w:rsidR="006C1DC5" w:rsidRDefault="00781BFC">
      <w:pPr>
        <w:tabs>
          <w:tab w:val="left" w:pos="426"/>
        </w:tabs>
        <w:spacing w:line="360" w:lineRule="auto"/>
        <w:ind w:right="40"/>
        <w:jc w:val="both"/>
        <w:rPr>
          <w:rFonts w:ascii="Arial" w:eastAsia="Arial" w:hAnsi="Arial" w:cs="Arial"/>
          <w:sz w:val="24"/>
          <w:szCs w:val="24"/>
        </w:rPr>
      </w:pPr>
      <w:r>
        <w:rPr>
          <w:rFonts w:ascii="Arial" w:eastAsia="Arial" w:hAnsi="Arial" w:cs="Arial"/>
          <w:b/>
          <w:sz w:val="24"/>
          <w:szCs w:val="24"/>
        </w:rPr>
        <w:t>a) Pretensión y planteamientos.</w:t>
      </w:r>
      <w:r>
        <w:rPr>
          <w:rFonts w:ascii="Arial" w:eastAsia="Arial" w:hAnsi="Arial" w:cs="Arial"/>
          <w:sz w:val="24"/>
          <w:szCs w:val="24"/>
        </w:rPr>
        <w:t xml:space="preserve"> La parte quejosa pretende que este Tribunal acredite las infracciones relativas a los actos anticipados de campaña, calumnia y la vulneración al artículo 134 de la Constitución Federal, a partir de las expresiones que emitió la parte denunciada, en su carácter de Senadora de la República en el curso de una Sesión Ordinaria dentro del marco del órgano legislativo.  </w:t>
      </w:r>
    </w:p>
    <w:p w14:paraId="3AEAF79D" w14:textId="77777777" w:rsidR="006C1DC5" w:rsidRDefault="006C1DC5">
      <w:pPr>
        <w:pBdr>
          <w:top w:val="nil"/>
          <w:left w:val="nil"/>
          <w:bottom w:val="nil"/>
          <w:right w:val="nil"/>
          <w:between w:val="nil"/>
        </w:pBdr>
        <w:rPr>
          <w:color w:val="000000"/>
          <w:sz w:val="14"/>
          <w:szCs w:val="14"/>
        </w:rPr>
      </w:pPr>
    </w:p>
    <w:p w14:paraId="6F8BD281" w14:textId="77777777" w:rsidR="0087045B" w:rsidRDefault="00781BFC">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b/>
          <w:sz w:val="24"/>
          <w:szCs w:val="24"/>
        </w:rPr>
        <w:t xml:space="preserve">b) </w:t>
      </w:r>
      <w:r>
        <w:rPr>
          <w:rFonts w:ascii="Arial" w:eastAsia="Arial" w:hAnsi="Arial" w:cs="Arial"/>
          <w:b/>
          <w:color w:val="000000"/>
          <w:sz w:val="24"/>
          <w:szCs w:val="24"/>
        </w:rPr>
        <w:t xml:space="preserve">Planteamiento de la controversia. </w:t>
      </w:r>
      <w:r>
        <w:rPr>
          <w:rFonts w:ascii="Arial" w:eastAsia="Arial" w:hAnsi="Arial" w:cs="Arial"/>
          <w:sz w:val="24"/>
          <w:szCs w:val="24"/>
        </w:rPr>
        <w:t xml:space="preserve">En atención a lo expuesto, este Tribunal considera que la controversia a definir consiste en determinar: </w:t>
      </w:r>
    </w:p>
    <w:p w14:paraId="632A0CE3" w14:textId="1157C777" w:rsidR="006C1DC5" w:rsidRPr="0087045B" w:rsidRDefault="00781BFC" w:rsidP="0087045B">
      <w:pPr>
        <w:pStyle w:val="Prrafodelista"/>
        <w:numPr>
          <w:ilvl w:val="0"/>
          <w:numId w:val="1"/>
        </w:numPr>
        <w:pBdr>
          <w:top w:val="nil"/>
          <w:left w:val="nil"/>
          <w:bottom w:val="nil"/>
          <w:right w:val="nil"/>
          <w:between w:val="nil"/>
        </w:pBdr>
        <w:tabs>
          <w:tab w:val="left" w:pos="426"/>
        </w:tabs>
        <w:spacing w:line="360" w:lineRule="auto"/>
        <w:ind w:left="0" w:right="36" w:firstLine="0"/>
        <w:jc w:val="both"/>
        <w:rPr>
          <w:rFonts w:ascii="Arial" w:eastAsia="Arial" w:hAnsi="Arial" w:cs="Arial"/>
          <w:color w:val="000000"/>
          <w:sz w:val="24"/>
          <w:szCs w:val="24"/>
        </w:rPr>
      </w:pPr>
      <w:r w:rsidRPr="0087045B">
        <w:rPr>
          <w:rFonts w:ascii="Arial" w:eastAsia="Arial" w:hAnsi="Arial" w:cs="Arial"/>
          <w:sz w:val="24"/>
          <w:szCs w:val="24"/>
        </w:rPr>
        <w:t xml:space="preserve">¿Si las conductas atribuidas a la Senadora son susceptibles de ser analizadas en el ámbito electoral, tomando en cuenta que los hechos denunciados surgieron dentro de la sala de sesiones del Senado de la República? </w:t>
      </w:r>
      <w:r w:rsidRPr="0087045B">
        <w:rPr>
          <w:rFonts w:ascii="Arial" w:eastAsia="Arial" w:hAnsi="Arial" w:cs="Arial"/>
          <w:color w:val="000000"/>
          <w:sz w:val="24"/>
          <w:szCs w:val="24"/>
        </w:rPr>
        <w:t xml:space="preserve"> </w:t>
      </w:r>
    </w:p>
    <w:p w14:paraId="5F3D4BE9" w14:textId="77777777" w:rsidR="006C1DC5" w:rsidRDefault="006C1DC5">
      <w:pPr>
        <w:pBdr>
          <w:top w:val="nil"/>
          <w:left w:val="nil"/>
          <w:bottom w:val="nil"/>
          <w:right w:val="nil"/>
          <w:between w:val="nil"/>
        </w:pBdr>
        <w:rPr>
          <w:sz w:val="14"/>
          <w:szCs w:val="14"/>
        </w:rPr>
      </w:pPr>
    </w:p>
    <w:p w14:paraId="4D96159E" w14:textId="77777777" w:rsidR="006C1DC5" w:rsidRDefault="00781BFC">
      <w:pPr>
        <w:pBdr>
          <w:top w:val="nil"/>
          <w:left w:val="nil"/>
          <w:bottom w:val="nil"/>
          <w:right w:val="nil"/>
          <w:between w:val="nil"/>
        </w:pBdr>
        <w:tabs>
          <w:tab w:val="left" w:pos="284"/>
        </w:tabs>
        <w:spacing w:line="360" w:lineRule="auto"/>
        <w:ind w:right="36"/>
        <w:jc w:val="both"/>
        <w:rPr>
          <w:rFonts w:ascii="Arial" w:eastAsia="Arial" w:hAnsi="Arial" w:cs="Arial"/>
          <w:b/>
          <w:sz w:val="24"/>
          <w:szCs w:val="24"/>
        </w:rPr>
      </w:pPr>
      <w:r>
        <w:rPr>
          <w:rFonts w:ascii="Arial" w:eastAsia="Arial" w:hAnsi="Arial" w:cs="Arial"/>
          <w:b/>
          <w:sz w:val="24"/>
          <w:szCs w:val="24"/>
          <w:u w:val="single"/>
        </w:rPr>
        <w:t>Aparatado I.</w:t>
      </w:r>
      <w:r>
        <w:rPr>
          <w:rFonts w:ascii="Arial" w:eastAsia="Arial" w:hAnsi="Arial" w:cs="Arial"/>
          <w:b/>
          <w:sz w:val="24"/>
          <w:szCs w:val="24"/>
        </w:rPr>
        <w:t xml:space="preserve"> Decisión. </w:t>
      </w:r>
    </w:p>
    <w:p w14:paraId="11C81E6D" w14:textId="77777777" w:rsidR="006C1DC5" w:rsidRDefault="006C1DC5">
      <w:pPr>
        <w:pBdr>
          <w:top w:val="nil"/>
          <w:left w:val="nil"/>
          <w:bottom w:val="nil"/>
          <w:right w:val="nil"/>
          <w:between w:val="nil"/>
        </w:pBdr>
        <w:rPr>
          <w:color w:val="000000"/>
        </w:rPr>
      </w:pPr>
    </w:p>
    <w:p w14:paraId="4543EEC6" w14:textId="77777777" w:rsidR="006C1DC5" w:rsidRDefault="00781BFC">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color w:val="000000"/>
          <w:sz w:val="24"/>
          <w:szCs w:val="24"/>
        </w:rPr>
        <w:t>Este Tribunal Electoral estima que</w:t>
      </w:r>
      <w:r>
        <w:rPr>
          <w:rFonts w:ascii="Arial" w:eastAsia="Arial" w:hAnsi="Arial" w:cs="Arial"/>
          <w:sz w:val="24"/>
          <w:szCs w:val="24"/>
        </w:rPr>
        <w:t xml:space="preserve"> debe declararse la </w:t>
      </w:r>
      <w:r>
        <w:rPr>
          <w:rFonts w:ascii="Arial" w:eastAsia="Arial" w:hAnsi="Arial" w:cs="Arial"/>
          <w:b/>
          <w:sz w:val="24"/>
          <w:szCs w:val="24"/>
        </w:rPr>
        <w:t>inexistencia</w:t>
      </w:r>
      <w:r>
        <w:rPr>
          <w:rFonts w:ascii="Arial" w:eastAsia="Arial" w:hAnsi="Arial" w:cs="Arial"/>
          <w:sz w:val="24"/>
          <w:szCs w:val="24"/>
        </w:rPr>
        <w:t xml:space="preserve"> de las infracciones relativas a actos anticipados de campaña, calumnia y vulneración al principio de imparcialidad atribuida a Martha Cecilia Márquez Alvarado, en su carácter de entonces Senadora de la República, ya que, el hecho de que las expresiones cuestionadas fueran emitidas por una funcionaria perteneciente a un órgano legislativo en el curso de una Sesión Ordinaria, en específico, en el recinto del Senado de la República, implica que </w:t>
      </w:r>
      <w:r>
        <w:rPr>
          <w:rFonts w:ascii="Arial" w:eastAsia="Arial" w:hAnsi="Arial" w:cs="Arial"/>
          <w:b/>
          <w:sz w:val="24"/>
          <w:szCs w:val="24"/>
        </w:rPr>
        <w:t>se encuentren amparadas por el principio de inviolabilidad parlamentaria</w:t>
      </w:r>
      <w:r>
        <w:rPr>
          <w:rFonts w:ascii="Arial" w:eastAsia="Arial" w:hAnsi="Arial" w:cs="Arial"/>
          <w:sz w:val="24"/>
          <w:szCs w:val="24"/>
        </w:rPr>
        <w:t>, del que gozan las y los legisladores en el ejercicio de sus funciones, situación que actualiza una excepción al ámbito de competencia que corresponde al derecho electoral.</w:t>
      </w:r>
    </w:p>
    <w:p w14:paraId="5A2BFE17" w14:textId="26901A76" w:rsidR="006C1DC5" w:rsidRDefault="006C1DC5">
      <w:pPr>
        <w:pBdr>
          <w:top w:val="nil"/>
          <w:left w:val="nil"/>
          <w:bottom w:val="nil"/>
          <w:right w:val="nil"/>
          <w:between w:val="nil"/>
        </w:pBdr>
        <w:rPr>
          <w:color w:val="000000"/>
        </w:rPr>
      </w:pPr>
    </w:p>
    <w:p w14:paraId="0153D9BE" w14:textId="77777777" w:rsidR="0087045B" w:rsidRDefault="0087045B">
      <w:pPr>
        <w:pBdr>
          <w:top w:val="nil"/>
          <w:left w:val="nil"/>
          <w:bottom w:val="nil"/>
          <w:right w:val="nil"/>
          <w:between w:val="nil"/>
        </w:pBdr>
        <w:rPr>
          <w:color w:val="000000"/>
        </w:rPr>
      </w:pPr>
    </w:p>
    <w:p w14:paraId="64BFA23A" w14:textId="77777777" w:rsidR="006C1DC5" w:rsidRDefault="00781BFC">
      <w:pPr>
        <w:spacing w:line="360" w:lineRule="auto"/>
        <w:jc w:val="both"/>
        <w:rPr>
          <w:rFonts w:ascii="Arial" w:eastAsia="Arial" w:hAnsi="Arial" w:cs="Arial"/>
          <w:b/>
          <w:sz w:val="24"/>
          <w:szCs w:val="24"/>
        </w:rPr>
      </w:pPr>
      <w:r>
        <w:rPr>
          <w:rFonts w:ascii="Arial" w:eastAsia="Arial" w:hAnsi="Arial" w:cs="Arial"/>
          <w:b/>
          <w:sz w:val="24"/>
          <w:szCs w:val="24"/>
          <w:u w:val="single"/>
        </w:rPr>
        <w:lastRenderedPageBreak/>
        <w:t>Aparatado II.</w:t>
      </w:r>
      <w:r>
        <w:rPr>
          <w:rFonts w:ascii="Arial" w:eastAsia="Arial" w:hAnsi="Arial" w:cs="Arial"/>
          <w:b/>
          <w:sz w:val="24"/>
          <w:szCs w:val="24"/>
        </w:rPr>
        <w:t xml:space="preserve"> Desarrollo y justificación de la decisión </w:t>
      </w:r>
    </w:p>
    <w:p w14:paraId="26BF7E29" w14:textId="77777777" w:rsidR="006C1DC5" w:rsidRDefault="00781BFC">
      <w:pPr>
        <w:spacing w:before="240" w:line="360" w:lineRule="auto"/>
        <w:jc w:val="both"/>
        <w:rPr>
          <w:rFonts w:ascii="Arial" w:eastAsia="Arial" w:hAnsi="Arial" w:cs="Arial"/>
          <w:b/>
          <w:sz w:val="24"/>
          <w:szCs w:val="24"/>
        </w:rPr>
      </w:pPr>
      <w:r>
        <w:rPr>
          <w:rFonts w:ascii="Arial" w:eastAsia="Arial" w:hAnsi="Arial" w:cs="Arial"/>
          <w:b/>
          <w:sz w:val="24"/>
          <w:szCs w:val="24"/>
        </w:rPr>
        <w:t>1. Marco normativo de la inviolabilidad parlamentaria</w:t>
      </w:r>
    </w:p>
    <w:p w14:paraId="1B57C4BC" w14:textId="77777777" w:rsidR="006C1DC5" w:rsidRDefault="00781BFC">
      <w:pPr>
        <w:spacing w:before="240" w:line="360" w:lineRule="auto"/>
        <w:jc w:val="both"/>
      </w:pPr>
      <w:r>
        <w:rPr>
          <w:rFonts w:ascii="Arial" w:eastAsia="Arial" w:hAnsi="Arial" w:cs="Arial"/>
          <w:sz w:val="24"/>
          <w:szCs w:val="24"/>
        </w:rPr>
        <w:t xml:space="preserve">El artículo 61, de la Constitución Federal, señala que las senadurías y diputaciones </w:t>
      </w:r>
      <w:r>
        <w:rPr>
          <w:rFonts w:ascii="Arial" w:eastAsia="Arial" w:hAnsi="Arial" w:cs="Arial"/>
          <w:b/>
          <w:sz w:val="24"/>
          <w:szCs w:val="24"/>
        </w:rPr>
        <w:t>son inviolables por las opiniones que manifiesten durante el desempeño de sus cargos</w:t>
      </w:r>
      <w:r>
        <w:rPr>
          <w:rFonts w:ascii="Arial" w:eastAsia="Arial" w:hAnsi="Arial" w:cs="Arial"/>
          <w:sz w:val="24"/>
          <w:szCs w:val="24"/>
        </w:rPr>
        <w:t>, por lo cual, no se les podrá reprender por la emisión de estas. Al respecto, se establece que la presidencia de cada Cámara deberá velar por la inviolabilidad del recinto donde se reúnan a sesionar.</w:t>
      </w:r>
      <w:r>
        <w:rPr>
          <w:rFonts w:ascii="Arial" w:eastAsia="Arial" w:hAnsi="Arial" w:cs="Arial"/>
          <w:sz w:val="24"/>
          <w:szCs w:val="24"/>
          <w:vertAlign w:val="superscript"/>
        </w:rPr>
        <w:footnoteReference w:id="5"/>
      </w:r>
    </w:p>
    <w:p w14:paraId="112331F9" w14:textId="77777777" w:rsidR="006C1DC5" w:rsidRDefault="00781BFC">
      <w:pPr>
        <w:spacing w:before="240" w:line="360" w:lineRule="auto"/>
        <w:jc w:val="both"/>
      </w:pPr>
      <w:r>
        <w:rPr>
          <w:rFonts w:ascii="Arial" w:eastAsia="Arial" w:hAnsi="Arial" w:cs="Arial"/>
          <w:sz w:val="24"/>
          <w:szCs w:val="24"/>
        </w:rPr>
        <w:t xml:space="preserve">Por su parte, la Suprema Corte de Justicia de la Nación a través de diversos criterios de interpretación, ha sostenido que dicha inmunidad surge a partir de los elementos siguientes: </w:t>
      </w:r>
      <w:r>
        <w:rPr>
          <w:rFonts w:ascii="Arial" w:eastAsia="Arial" w:hAnsi="Arial" w:cs="Arial"/>
          <w:b/>
          <w:i/>
          <w:sz w:val="24"/>
          <w:szCs w:val="24"/>
        </w:rPr>
        <w:t>i)</w:t>
      </w:r>
      <w:r>
        <w:rPr>
          <w:rFonts w:ascii="Arial" w:eastAsia="Arial" w:hAnsi="Arial" w:cs="Arial"/>
          <w:sz w:val="24"/>
          <w:szCs w:val="24"/>
        </w:rPr>
        <w:t xml:space="preserve"> solo opera a favor de diputaciones y senadurías, </w:t>
      </w:r>
      <w:r>
        <w:rPr>
          <w:rFonts w:ascii="Arial" w:eastAsia="Arial" w:hAnsi="Arial" w:cs="Arial"/>
          <w:b/>
          <w:i/>
          <w:sz w:val="24"/>
          <w:szCs w:val="24"/>
        </w:rPr>
        <w:t>ii)</w:t>
      </w:r>
      <w:r>
        <w:rPr>
          <w:rFonts w:ascii="Arial" w:eastAsia="Arial" w:hAnsi="Arial" w:cs="Arial"/>
          <w:sz w:val="24"/>
          <w:szCs w:val="24"/>
        </w:rPr>
        <w:t xml:space="preserve"> se emita una opinión y, </w:t>
      </w:r>
      <w:r>
        <w:rPr>
          <w:rFonts w:ascii="Arial" w:eastAsia="Arial" w:hAnsi="Arial" w:cs="Arial"/>
          <w:b/>
          <w:i/>
          <w:sz w:val="24"/>
          <w:szCs w:val="24"/>
        </w:rPr>
        <w:t>iii)</w:t>
      </w:r>
      <w:r>
        <w:rPr>
          <w:rFonts w:ascii="Arial" w:eastAsia="Arial" w:hAnsi="Arial" w:cs="Arial"/>
          <w:sz w:val="24"/>
          <w:szCs w:val="24"/>
        </w:rPr>
        <w:t xml:space="preserve"> que esta se manifieste en el desempeño de sus cargos.</w:t>
      </w:r>
      <w:r>
        <w:rPr>
          <w:rFonts w:ascii="Arial" w:eastAsia="Arial" w:hAnsi="Arial" w:cs="Arial"/>
          <w:sz w:val="24"/>
          <w:szCs w:val="24"/>
          <w:vertAlign w:val="superscript"/>
        </w:rPr>
        <w:footnoteReference w:id="6"/>
      </w:r>
    </w:p>
    <w:p w14:paraId="0E40D07D" w14:textId="77777777" w:rsidR="006C1DC5" w:rsidRDefault="00781BFC">
      <w:pPr>
        <w:spacing w:before="240" w:line="360" w:lineRule="auto"/>
        <w:jc w:val="both"/>
      </w:pPr>
      <w:r>
        <w:rPr>
          <w:rFonts w:ascii="Arial" w:eastAsia="Arial" w:hAnsi="Arial" w:cs="Arial"/>
          <w:sz w:val="24"/>
          <w:szCs w:val="24"/>
        </w:rPr>
        <w:t xml:space="preserve">En tal sentido, estableció que la inviolabilidad parlamentaria: </w:t>
      </w:r>
      <w:r>
        <w:rPr>
          <w:rFonts w:ascii="Arial" w:eastAsia="Arial" w:hAnsi="Arial" w:cs="Arial"/>
          <w:b/>
          <w:i/>
          <w:sz w:val="24"/>
          <w:szCs w:val="24"/>
        </w:rPr>
        <w:t>a)</w:t>
      </w:r>
      <w:r>
        <w:rPr>
          <w:rFonts w:ascii="Arial" w:eastAsia="Arial" w:hAnsi="Arial" w:cs="Arial"/>
          <w:sz w:val="24"/>
          <w:szCs w:val="24"/>
        </w:rPr>
        <w:t xml:space="preserve"> se actualiza cuando la o el senador </w:t>
      </w:r>
      <w:r>
        <w:rPr>
          <w:rFonts w:ascii="Arial" w:eastAsia="Arial" w:hAnsi="Arial" w:cs="Arial"/>
          <w:b/>
          <w:sz w:val="24"/>
          <w:szCs w:val="24"/>
        </w:rPr>
        <w:t>actúa en el desempeño de su cargo</w:t>
      </w:r>
      <w:r>
        <w:rPr>
          <w:rFonts w:ascii="Arial" w:eastAsia="Arial" w:hAnsi="Arial" w:cs="Arial"/>
          <w:sz w:val="24"/>
          <w:szCs w:val="24"/>
        </w:rPr>
        <w:t xml:space="preserve">, </w:t>
      </w:r>
      <w:r>
        <w:rPr>
          <w:rFonts w:ascii="Arial" w:eastAsia="Arial" w:hAnsi="Arial" w:cs="Arial"/>
          <w:b/>
          <w:i/>
          <w:sz w:val="24"/>
          <w:szCs w:val="24"/>
        </w:rPr>
        <w:t>b)</w:t>
      </w:r>
      <w:r>
        <w:rPr>
          <w:rFonts w:ascii="Arial" w:eastAsia="Arial" w:hAnsi="Arial" w:cs="Arial"/>
          <w:sz w:val="24"/>
          <w:szCs w:val="24"/>
        </w:rPr>
        <w:t xml:space="preserve"> su objetivo es proteger la libre discusión y decisión parlamentarias de las y los legisladores como representantes públicos y, </w:t>
      </w:r>
      <w:r>
        <w:rPr>
          <w:rFonts w:ascii="Arial" w:eastAsia="Arial" w:hAnsi="Arial" w:cs="Arial"/>
          <w:b/>
          <w:i/>
          <w:sz w:val="24"/>
          <w:szCs w:val="24"/>
        </w:rPr>
        <w:t>c)</w:t>
      </w:r>
      <w:r>
        <w:rPr>
          <w:rFonts w:ascii="Arial" w:eastAsia="Arial" w:hAnsi="Arial" w:cs="Arial"/>
          <w:sz w:val="24"/>
          <w:szCs w:val="24"/>
        </w:rPr>
        <w:t xml:space="preserve"> tiene como consecuencia una protección de fondo, absoluta y perpetua, que prácticamente los sitúa en una posición de excepción.</w:t>
      </w:r>
      <w:r>
        <w:rPr>
          <w:rFonts w:ascii="Arial" w:eastAsia="Arial" w:hAnsi="Arial" w:cs="Arial"/>
          <w:sz w:val="24"/>
          <w:szCs w:val="24"/>
          <w:vertAlign w:val="superscript"/>
        </w:rPr>
        <w:footnoteReference w:id="7"/>
      </w:r>
    </w:p>
    <w:p w14:paraId="678AF345" w14:textId="77777777" w:rsidR="006C1DC5" w:rsidRDefault="006C1DC5">
      <w:pPr>
        <w:spacing w:line="360" w:lineRule="auto"/>
        <w:jc w:val="both"/>
        <w:rPr>
          <w:rFonts w:ascii="Arial" w:eastAsia="Arial" w:hAnsi="Arial" w:cs="Arial"/>
          <w:sz w:val="24"/>
          <w:szCs w:val="24"/>
        </w:rPr>
      </w:pPr>
    </w:p>
    <w:p w14:paraId="58A3902E" w14:textId="77777777" w:rsidR="006C1DC5" w:rsidRDefault="00781BFC">
      <w:pPr>
        <w:spacing w:line="360" w:lineRule="auto"/>
        <w:jc w:val="both"/>
      </w:pPr>
      <w:r>
        <w:rPr>
          <w:rFonts w:ascii="Arial" w:eastAsia="Arial" w:hAnsi="Arial" w:cs="Arial"/>
          <w:sz w:val="24"/>
          <w:szCs w:val="24"/>
        </w:rPr>
        <w:t xml:space="preserve">De ahí que en tal criterio se hubiese exigido </w:t>
      </w:r>
      <w:r>
        <w:rPr>
          <w:rFonts w:ascii="Arial" w:eastAsia="Arial" w:hAnsi="Arial" w:cs="Arial"/>
          <w:b/>
          <w:sz w:val="24"/>
          <w:szCs w:val="24"/>
        </w:rPr>
        <w:t>tanto al gobierno como a los particulares a soportar las manifestaciones que viertan en su contra</w:t>
      </w:r>
      <w:r>
        <w:rPr>
          <w:rFonts w:ascii="Arial" w:eastAsia="Arial" w:hAnsi="Arial" w:cs="Arial"/>
          <w:sz w:val="24"/>
          <w:szCs w:val="24"/>
        </w:rPr>
        <w:t xml:space="preserve">, aún cuando subjetivamente puedan considerarlas difamatorias. Esto, porque </w:t>
      </w:r>
      <w:r>
        <w:rPr>
          <w:rFonts w:ascii="Arial" w:eastAsia="Arial" w:hAnsi="Arial" w:cs="Arial"/>
          <w:b/>
          <w:sz w:val="24"/>
          <w:szCs w:val="24"/>
          <w:u w:val="single"/>
        </w:rPr>
        <w:t>el bien jurídico que protege es la función del Poder Legislativo</w:t>
      </w:r>
      <w:r>
        <w:rPr>
          <w:rFonts w:ascii="Arial" w:eastAsia="Arial" w:hAnsi="Arial" w:cs="Arial"/>
          <w:sz w:val="24"/>
          <w:szCs w:val="24"/>
        </w:rPr>
        <w:t>.</w:t>
      </w:r>
    </w:p>
    <w:p w14:paraId="15DF270E" w14:textId="77777777" w:rsidR="006C1DC5" w:rsidRDefault="00781BFC">
      <w:pPr>
        <w:spacing w:before="240" w:line="360" w:lineRule="auto"/>
        <w:jc w:val="both"/>
      </w:pPr>
      <w:r>
        <w:rPr>
          <w:rFonts w:ascii="Arial" w:eastAsia="Arial" w:hAnsi="Arial" w:cs="Arial"/>
          <w:sz w:val="24"/>
          <w:szCs w:val="24"/>
        </w:rPr>
        <w:t>Finalmente, consideró que en el caso de que tales opiniones puedan considerarse ofensivas o infamantes, el único órgano competente para calificar tales expresiones y, en su caso, sancionarlas, es la presidencia del propio Congreso. A fin de que ninguna entidad ajena incida en la organización de dicho ente.</w:t>
      </w:r>
      <w:r>
        <w:rPr>
          <w:rFonts w:ascii="Arial" w:eastAsia="Arial" w:hAnsi="Arial" w:cs="Arial"/>
          <w:sz w:val="24"/>
          <w:szCs w:val="24"/>
          <w:vertAlign w:val="superscript"/>
        </w:rPr>
        <w:footnoteReference w:id="8"/>
      </w:r>
      <w:r>
        <w:rPr>
          <w:rFonts w:ascii="Arial" w:eastAsia="Arial" w:hAnsi="Arial" w:cs="Arial"/>
          <w:sz w:val="24"/>
          <w:szCs w:val="24"/>
        </w:rPr>
        <w:t xml:space="preserve"> </w:t>
      </w:r>
    </w:p>
    <w:p w14:paraId="2CE9FE9B" w14:textId="77777777" w:rsidR="006C1DC5" w:rsidRDefault="00781BFC">
      <w:pPr>
        <w:spacing w:before="240" w:line="360" w:lineRule="auto"/>
        <w:jc w:val="both"/>
      </w:pPr>
      <w:r>
        <w:rPr>
          <w:rFonts w:ascii="Arial" w:eastAsia="Arial" w:hAnsi="Arial" w:cs="Arial"/>
          <w:sz w:val="24"/>
          <w:szCs w:val="24"/>
        </w:rPr>
        <w:lastRenderedPageBreak/>
        <w:t xml:space="preserve">Por otra parte, de la relación de los artículos 8, fracción II, 76, fracción IX y 276 del Reglamento del Senado de la República, se advierte que </w:t>
      </w:r>
      <w:r>
        <w:rPr>
          <w:rFonts w:ascii="Arial" w:eastAsia="Arial" w:hAnsi="Arial" w:cs="Arial"/>
          <w:b/>
          <w:sz w:val="24"/>
          <w:szCs w:val="24"/>
        </w:rPr>
        <w:t>las senadurías tienen el derecho de presentar proposiciones con punto de acuerdo</w:t>
      </w:r>
      <w:r>
        <w:rPr>
          <w:rFonts w:ascii="Arial" w:eastAsia="Arial" w:hAnsi="Arial" w:cs="Arial"/>
          <w:sz w:val="24"/>
          <w:szCs w:val="24"/>
        </w:rPr>
        <w:t xml:space="preserve"> ante el Senado o la Comisión Permanente, con el objetivo de atender asuntos que no constituyen iniciativas de ley o decreto, entendiéndose por ello, toda petición o declaración formal que el</w:t>
      </w:r>
      <w:r>
        <w:t xml:space="preserve"> </w:t>
      </w:r>
      <w:r>
        <w:rPr>
          <w:rFonts w:ascii="Arial" w:eastAsia="Arial" w:hAnsi="Arial" w:cs="Arial"/>
          <w:sz w:val="24"/>
          <w:szCs w:val="24"/>
        </w:rPr>
        <w:t>Pleno del Senado de la República realiza para asumir una postura institucional respecto a asuntos de diversas índoles y sin carácter vinculante.</w:t>
      </w:r>
    </w:p>
    <w:p w14:paraId="27D954D4" w14:textId="77777777" w:rsidR="006C1DC5" w:rsidRDefault="00781BFC">
      <w:pPr>
        <w:spacing w:before="240" w:line="360" w:lineRule="auto"/>
        <w:jc w:val="both"/>
      </w:pPr>
      <w:r>
        <w:rPr>
          <w:rFonts w:ascii="Arial" w:eastAsia="Arial" w:hAnsi="Arial" w:cs="Arial"/>
          <w:sz w:val="24"/>
          <w:szCs w:val="24"/>
        </w:rPr>
        <w:t xml:space="preserve">De lo expuesto, se concluye que la inviolabilidad o inmunidad parlamentaria es una </w:t>
      </w:r>
      <w:r>
        <w:rPr>
          <w:rFonts w:ascii="Arial" w:eastAsia="Arial" w:hAnsi="Arial" w:cs="Arial"/>
          <w:b/>
          <w:sz w:val="24"/>
          <w:szCs w:val="24"/>
        </w:rPr>
        <w:t>prerrogativa constitucional</w:t>
      </w:r>
      <w:r>
        <w:rPr>
          <w:rFonts w:ascii="Arial" w:eastAsia="Arial" w:hAnsi="Arial" w:cs="Arial"/>
          <w:sz w:val="24"/>
          <w:szCs w:val="24"/>
        </w:rPr>
        <w:t xml:space="preserve"> de la cual gozan las senadurías, con el objetivo de proteger su libre expresión, discusión y decisión en el ejercicio de su cargo, sin que puedan ser sujetos de procedimiento alguno derivado de las opiniones que emitan en el contexto de una tribuna, excepto cuando quien ostente la presidencia del referido órgano legislativo considere iniciar un procedimiento interno contra ciertas conductas o expresiones. </w:t>
      </w:r>
    </w:p>
    <w:p w14:paraId="57981EA8" w14:textId="77777777" w:rsidR="006C1DC5" w:rsidRDefault="00781BFC">
      <w:pPr>
        <w:spacing w:before="240" w:line="360" w:lineRule="auto"/>
        <w:jc w:val="both"/>
      </w:pPr>
      <w:r>
        <w:rPr>
          <w:rFonts w:ascii="Arial" w:eastAsia="Arial" w:hAnsi="Arial" w:cs="Arial"/>
          <w:b/>
          <w:sz w:val="24"/>
          <w:szCs w:val="24"/>
        </w:rPr>
        <w:t>2. Caso concreto</w:t>
      </w:r>
    </w:p>
    <w:p w14:paraId="01DD047A" w14:textId="77777777" w:rsidR="006C1DC5" w:rsidRDefault="00781BFC">
      <w:pPr>
        <w:spacing w:before="240" w:line="360" w:lineRule="auto"/>
        <w:jc w:val="both"/>
      </w:pPr>
      <w:r>
        <w:rPr>
          <w:rFonts w:ascii="Arial" w:eastAsia="Arial" w:hAnsi="Arial" w:cs="Arial"/>
          <w:sz w:val="24"/>
          <w:szCs w:val="24"/>
        </w:rPr>
        <w:t>En el caso, la ciudadana María Teresa Jiménez Esquivel, en su carácter de precandidata a la gubernatura de Aguascalientes, presentó una queja en contra de Martha Cecilia Márquez Alvarado, entonces Senadora de la República, derivado de la supuesta comisión de actos que, a su criterio, actualizan las infracciones de calumnia, actos anticipados de campaña y vulneración al principio de imparcialidad.</w:t>
      </w:r>
    </w:p>
    <w:p w14:paraId="17016FF3" w14:textId="77777777" w:rsidR="006C1DC5" w:rsidRDefault="00781BFC">
      <w:pPr>
        <w:spacing w:before="240" w:after="240" w:line="360" w:lineRule="auto"/>
        <w:jc w:val="both"/>
      </w:pPr>
      <w:r>
        <w:rPr>
          <w:rFonts w:ascii="Arial" w:eastAsia="Arial" w:hAnsi="Arial" w:cs="Arial"/>
          <w:sz w:val="24"/>
          <w:szCs w:val="24"/>
        </w:rPr>
        <w:t>Lo anterior, porque durante una Sesión Ordinaria del Senado de la República, la Senadora en cuestión realizó una crítica al gobierno municipal que, en su momento, encabezó la denunciante, derivado de la presentación de una proposición con punto de acuerdo concerniente al esclarecimiento de hechos denunciados ante la Fiscalía Anticorrupción relacionados con el ejercicio de recursos públicos en el municipio de Aguascalientes.</w:t>
      </w:r>
    </w:p>
    <w:p w14:paraId="2D307687" w14:textId="77777777" w:rsidR="006C1DC5" w:rsidRDefault="00781BFC">
      <w:pPr>
        <w:spacing w:before="240" w:after="240" w:line="360" w:lineRule="auto"/>
        <w:jc w:val="both"/>
        <w:rPr>
          <w:color w:val="000000"/>
        </w:rPr>
      </w:pPr>
      <w:r>
        <w:rPr>
          <w:rFonts w:ascii="Arial" w:eastAsia="Arial" w:hAnsi="Arial" w:cs="Arial"/>
          <w:sz w:val="24"/>
          <w:szCs w:val="24"/>
        </w:rPr>
        <w:t>Por tanto, a dicho de la quejosa, con tal proposición pretendía calumniarla, denostar su imagen, así como relacionarla con temas de corrupción y, a su vez, que la denunciada lograra posicionarse como candidata a la gubernatura, lo cual implicó un uso indebido de recursos públicos para obtener una ventaja indebida y anticipada ante la ciudadanía.</w:t>
      </w:r>
    </w:p>
    <w:p w14:paraId="373FDAD5" w14:textId="77777777" w:rsidR="006C1DC5" w:rsidRDefault="00781BFC">
      <w:pPr>
        <w:pBdr>
          <w:top w:val="nil"/>
          <w:left w:val="nil"/>
          <w:bottom w:val="nil"/>
          <w:right w:val="nil"/>
          <w:between w:val="nil"/>
        </w:pBdr>
        <w:tabs>
          <w:tab w:val="left" w:pos="284"/>
        </w:tabs>
        <w:spacing w:line="360" w:lineRule="auto"/>
        <w:ind w:right="36"/>
        <w:jc w:val="both"/>
        <w:rPr>
          <w:color w:val="000000"/>
        </w:rPr>
      </w:pPr>
      <w:r>
        <w:rPr>
          <w:rFonts w:ascii="Arial" w:eastAsia="Arial" w:hAnsi="Arial" w:cs="Arial"/>
          <w:b/>
          <w:sz w:val="24"/>
          <w:szCs w:val="24"/>
        </w:rPr>
        <w:t>3</w:t>
      </w:r>
      <w:r>
        <w:rPr>
          <w:rFonts w:ascii="Arial" w:eastAsia="Arial" w:hAnsi="Arial" w:cs="Arial"/>
          <w:b/>
          <w:color w:val="000000"/>
          <w:sz w:val="24"/>
          <w:szCs w:val="24"/>
        </w:rPr>
        <w:t>. Valoración</w:t>
      </w:r>
    </w:p>
    <w:p w14:paraId="27BAE34A" w14:textId="77777777" w:rsidR="006C1DC5" w:rsidRPr="002F0F05" w:rsidRDefault="006C1DC5" w:rsidP="002F0F05">
      <w:pPr>
        <w:pStyle w:val="Sinespaciado"/>
      </w:pPr>
    </w:p>
    <w:p w14:paraId="47AE536B" w14:textId="7777777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t xml:space="preserve">Este Tribunal Electoral considera que las infracciones denunciadas -actos anticipados de campaña, calumnia y vulneración al principio de imparcialidad- </w:t>
      </w:r>
      <w:r>
        <w:rPr>
          <w:rFonts w:ascii="Arial" w:eastAsia="Arial" w:hAnsi="Arial" w:cs="Arial"/>
          <w:b/>
          <w:sz w:val="24"/>
          <w:szCs w:val="24"/>
        </w:rPr>
        <w:t xml:space="preserve">son inexistentes, </w:t>
      </w:r>
      <w:r>
        <w:rPr>
          <w:rFonts w:ascii="Arial" w:eastAsia="Arial" w:hAnsi="Arial" w:cs="Arial"/>
          <w:sz w:val="24"/>
          <w:szCs w:val="24"/>
        </w:rPr>
        <w:t xml:space="preserve">porque el hecho de que las expresiones cuestionadas fueran emitidas por una funcionaria perteneciente a un órgano legislativo en el curso de una Sesión Ordinaria en el recinto del Senado de la República, implica que se encuentren </w:t>
      </w:r>
      <w:r>
        <w:rPr>
          <w:rFonts w:ascii="Arial" w:eastAsia="Arial" w:hAnsi="Arial" w:cs="Arial"/>
          <w:b/>
          <w:sz w:val="24"/>
          <w:szCs w:val="24"/>
        </w:rPr>
        <w:t xml:space="preserve">amparadas por el principio de </w:t>
      </w:r>
      <w:r>
        <w:rPr>
          <w:rFonts w:ascii="Arial" w:eastAsia="Arial" w:hAnsi="Arial" w:cs="Arial"/>
          <w:b/>
          <w:sz w:val="24"/>
          <w:szCs w:val="24"/>
        </w:rPr>
        <w:lastRenderedPageBreak/>
        <w:t xml:space="preserve">inviolabilidad parlamentaria </w:t>
      </w:r>
      <w:r>
        <w:rPr>
          <w:rFonts w:ascii="Arial" w:eastAsia="Arial" w:hAnsi="Arial" w:cs="Arial"/>
          <w:sz w:val="24"/>
          <w:szCs w:val="24"/>
        </w:rPr>
        <w:t>del que gozan las y los legisladores en el ejercicio de sus funciones, situación que actualiza una excepción al ámbito de competencia que corresponde al derecho electoral.</w:t>
      </w:r>
    </w:p>
    <w:p w14:paraId="05C2F8EE" w14:textId="77777777" w:rsidR="006C1DC5" w:rsidRDefault="006C1DC5" w:rsidP="002F0F05">
      <w:pPr>
        <w:pStyle w:val="Sinespaciado"/>
        <w:rPr>
          <w:rFonts w:eastAsia="Arial"/>
        </w:rPr>
      </w:pPr>
    </w:p>
    <w:p w14:paraId="23D479C3" w14:textId="7777777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t xml:space="preserve">Lo anterior se debe a que, de acuerdo a los criterios emitidos por la Suprema Corte de Justicia de la Nación en materia de inmunidad legislativa, se ha sostenido que para definir si una controversia actualiza el principio en cuestión, deben analizarse los elementos siguientes: </w:t>
      </w:r>
      <w:r>
        <w:rPr>
          <w:rFonts w:ascii="Arial" w:eastAsia="Arial" w:hAnsi="Arial" w:cs="Arial"/>
          <w:b/>
          <w:i/>
          <w:sz w:val="24"/>
          <w:szCs w:val="24"/>
        </w:rPr>
        <w:t>i)</w:t>
      </w:r>
      <w:r>
        <w:rPr>
          <w:rFonts w:ascii="Arial" w:eastAsia="Arial" w:hAnsi="Arial" w:cs="Arial"/>
          <w:sz w:val="24"/>
          <w:szCs w:val="24"/>
        </w:rPr>
        <w:t xml:space="preserve"> sólo opera a favor de diputaciones y senadurías, </w:t>
      </w:r>
      <w:r>
        <w:rPr>
          <w:rFonts w:ascii="Arial" w:eastAsia="Arial" w:hAnsi="Arial" w:cs="Arial"/>
          <w:b/>
          <w:i/>
          <w:sz w:val="24"/>
          <w:szCs w:val="24"/>
        </w:rPr>
        <w:t>ii)</w:t>
      </w:r>
      <w:r>
        <w:rPr>
          <w:rFonts w:ascii="Arial" w:eastAsia="Arial" w:hAnsi="Arial" w:cs="Arial"/>
          <w:sz w:val="24"/>
          <w:szCs w:val="24"/>
        </w:rPr>
        <w:t xml:space="preserve"> se emita una opinión y, </w:t>
      </w:r>
      <w:r>
        <w:rPr>
          <w:rFonts w:ascii="Arial" w:eastAsia="Arial" w:hAnsi="Arial" w:cs="Arial"/>
          <w:b/>
          <w:i/>
          <w:sz w:val="24"/>
          <w:szCs w:val="24"/>
        </w:rPr>
        <w:t>iii)</w:t>
      </w:r>
      <w:r>
        <w:rPr>
          <w:rFonts w:ascii="Arial" w:eastAsia="Arial" w:hAnsi="Arial" w:cs="Arial"/>
          <w:sz w:val="24"/>
          <w:szCs w:val="24"/>
        </w:rPr>
        <w:t xml:space="preserve"> que esta se manifieste en el desempeño de sus cargos.</w:t>
      </w:r>
    </w:p>
    <w:p w14:paraId="294FE344" w14:textId="77777777" w:rsidR="006C1DC5" w:rsidRDefault="006C1DC5" w:rsidP="002F0F05">
      <w:pPr>
        <w:pStyle w:val="Sinespaciado"/>
        <w:rPr>
          <w:rFonts w:eastAsia="Arial"/>
        </w:rPr>
      </w:pPr>
    </w:p>
    <w:p w14:paraId="78CE6EBB" w14:textId="7777777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t>Al respecto, a criterio de este órgano jurisdiccional se actualiza el primero</w:t>
      </w:r>
      <w:r>
        <w:rPr>
          <w:rFonts w:ascii="Arial" w:eastAsia="Arial" w:hAnsi="Arial" w:cs="Arial"/>
          <w:b/>
          <w:sz w:val="24"/>
          <w:szCs w:val="24"/>
        </w:rPr>
        <w:t xml:space="preserve"> </w:t>
      </w:r>
      <w:r>
        <w:rPr>
          <w:rFonts w:ascii="Arial" w:eastAsia="Arial" w:hAnsi="Arial" w:cs="Arial"/>
          <w:sz w:val="24"/>
          <w:szCs w:val="24"/>
        </w:rPr>
        <w:t xml:space="preserve">de los elementos que exige que la persona involucrada ostente alguna diputación o senaduría, porque de acuerdo a los hechos controvertidos, quedó demostrado que al momento de la presentación de la queja, la parte denunciada -quien emitió la expresión cuestionada- </w:t>
      </w:r>
      <w:r>
        <w:rPr>
          <w:rFonts w:ascii="Arial" w:eastAsia="Arial" w:hAnsi="Arial" w:cs="Arial"/>
          <w:b/>
          <w:sz w:val="24"/>
          <w:szCs w:val="24"/>
        </w:rPr>
        <w:t>fungía como Senadora de la República</w:t>
      </w:r>
      <w:r>
        <w:rPr>
          <w:rFonts w:ascii="Arial" w:eastAsia="Arial" w:hAnsi="Arial" w:cs="Arial"/>
          <w:sz w:val="24"/>
          <w:szCs w:val="24"/>
        </w:rPr>
        <w:t>, integrante de la LXV Legislatura.</w:t>
      </w:r>
    </w:p>
    <w:p w14:paraId="227B03A2" w14:textId="77777777" w:rsidR="006C1DC5" w:rsidRPr="0087045B" w:rsidRDefault="006C1DC5" w:rsidP="0087045B">
      <w:pPr>
        <w:pStyle w:val="Sinespaciado"/>
        <w:rPr>
          <w:rFonts w:eastAsia="Arial"/>
        </w:rPr>
      </w:pPr>
    </w:p>
    <w:p w14:paraId="64470F87" w14:textId="77777777" w:rsidR="006C1DC5" w:rsidRDefault="00781BFC">
      <w:pPr>
        <w:pBdr>
          <w:top w:val="nil"/>
          <w:left w:val="nil"/>
          <w:bottom w:val="nil"/>
          <w:right w:val="nil"/>
          <w:between w:val="nil"/>
        </w:pBdr>
        <w:tabs>
          <w:tab w:val="left" w:pos="0"/>
          <w:tab w:val="left" w:pos="426"/>
        </w:tabs>
        <w:spacing w:line="360" w:lineRule="auto"/>
        <w:jc w:val="both"/>
      </w:pPr>
      <w:r>
        <w:rPr>
          <w:rFonts w:ascii="Arial" w:eastAsia="Arial" w:hAnsi="Arial" w:cs="Arial"/>
          <w:sz w:val="24"/>
          <w:szCs w:val="24"/>
        </w:rPr>
        <w:t xml:space="preserve">En segundo término, es posible advertir que se actualiza el elemento que hace referencia a que la manifestación verse sobre una opinión, ya que de las constancias que existen en el expediente y del contexto general en el que surgieron los hechos denunciados, es posible sostener que el discurso que se cuestiona </w:t>
      </w:r>
      <w:r>
        <w:rPr>
          <w:rFonts w:ascii="Arial" w:eastAsia="Arial" w:hAnsi="Arial" w:cs="Arial"/>
          <w:b/>
          <w:sz w:val="24"/>
          <w:szCs w:val="24"/>
        </w:rPr>
        <w:t>se trató formal y materialmente de una opinión emitida en el ejercicio de la libertad de expresión y que, además, apertura el debate parlamentario</w:t>
      </w:r>
      <w:r>
        <w:rPr>
          <w:rFonts w:ascii="Arial" w:eastAsia="Arial" w:hAnsi="Arial" w:cs="Arial"/>
          <w:b/>
          <w:sz w:val="24"/>
          <w:szCs w:val="24"/>
          <w:vertAlign w:val="superscript"/>
        </w:rPr>
        <w:footnoteReference w:id="9"/>
      </w:r>
      <w:r>
        <w:rPr>
          <w:rFonts w:ascii="Arial" w:eastAsia="Arial" w:hAnsi="Arial" w:cs="Arial"/>
          <w:sz w:val="24"/>
          <w:szCs w:val="24"/>
        </w:rPr>
        <w:t>, en relación a la proposición con punto de acuerdo que abordaría la temática del esclarecimiento de hechos denunciados ante la Fiscalía Anticorrupción que involucraron el ejercicio de recursos públicos en el municipio de Aguascalientes.</w:t>
      </w:r>
    </w:p>
    <w:p w14:paraId="152B984B" w14:textId="77777777" w:rsidR="006C1DC5" w:rsidRDefault="006C1DC5" w:rsidP="002F0F05">
      <w:pPr>
        <w:pStyle w:val="Sinespaciado"/>
        <w:rPr>
          <w:rFonts w:eastAsia="Arial"/>
        </w:rPr>
      </w:pPr>
    </w:p>
    <w:p w14:paraId="447E3E73" w14:textId="7777777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t xml:space="preserve">Finalmente, esta autoridad jurisdiccional considera que el tercero de los elementos que exige que la idea u opinión se hubiese emitido en el ejercicio de la función legislativa, se actualiza porque el hecho denunciado se circunscribe en una </w:t>
      </w:r>
      <w:r>
        <w:rPr>
          <w:rFonts w:ascii="Arial" w:eastAsia="Arial" w:hAnsi="Arial" w:cs="Arial"/>
          <w:b/>
          <w:sz w:val="24"/>
          <w:szCs w:val="24"/>
        </w:rPr>
        <w:t xml:space="preserve">manifestación emanada en el desempeño del cargo </w:t>
      </w:r>
      <w:r>
        <w:rPr>
          <w:rFonts w:ascii="Arial" w:eastAsia="Arial" w:hAnsi="Arial" w:cs="Arial"/>
          <w:sz w:val="24"/>
          <w:szCs w:val="24"/>
        </w:rPr>
        <w:t xml:space="preserve">de la entonces Senadora denunciada, ya que se trató de la presentación de una proposición con punto de acuerdo. </w:t>
      </w:r>
    </w:p>
    <w:p w14:paraId="3A2EAD60" w14:textId="77777777" w:rsidR="006C1DC5" w:rsidRDefault="006C1DC5" w:rsidP="0087045B">
      <w:pPr>
        <w:pStyle w:val="Sinespaciado"/>
        <w:rPr>
          <w:rFonts w:eastAsia="Arial"/>
        </w:rPr>
      </w:pPr>
    </w:p>
    <w:p w14:paraId="35626A04" w14:textId="08D4FC55" w:rsidR="006C1DC5" w:rsidRPr="0087045B" w:rsidRDefault="00781BFC" w:rsidP="0087045B">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t>Al respecto, tal ejercicio, de acuerdo al Reglamento, es una atribución reconocida a las senadurías de tal órgano legislativo</w:t>
      </w:r>
      <w:r>
        <w:rPr>
          <w:rFonts w:ascii="Arial" w:eastAsia="Arial" w:hAnsi="Arial" w:cs="Arial"/>
          <w:sz w:val="24"/>
          <w:szCs w:val="24"/>
          <w:vertAlign w:val="superscript"/>
        </w:rPr>
        <w:footnoteReference w:id="10"/>
      </w:r>
      <w:r>
        <w:rPr>
          <w:rFonts w:ascii="Arial" w:eastAsia="Arial" w:hAnsi="Arial" w:cs="Arial"/>
          <w:sz w:val="24"/>
          <w:szCs w:val="24"/>
        </w:rPr>
        <w:t>, consistente en una petición o declaración formal que el Pleno del Senado de la República realiza para asumir una postura institucional sobre asuntos de diversas índoles y sin carácter vinculante</w:t>
      </w:r>
      <w:r>
        <w:rPr>
          <w:rFonts w:ascii="Arial" w:eastAsia="Arial" w:hAnsi="Arial" w:cs="Arial"/>
          <w:sz w:val="24"/>
          <w:szCs w:val="24"/>
          <w:vertAlign w:val="superscript"/>
        </w:rPr>
        <w:footnoteReference w:id="11"/>
      </w:r>
      <w:r>
        <w:rPr>
          <w:rFonts w:ascii="Arial" w:eastAsia="Arial" w:hAnsi="Arial" w:cs="Arial"/>
          <w:sz w:val="24"/>
          <w:szCs w:val="24"/>
        </w:rPr>
        <w:t xml:space="preserve">. </w:t>
      </w:r>
    </w:p>
    <w:p w14:paraId="1B89F5BF" w14:textId="7848EBB0"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lastRenderedPageBreak/>
        <w:t xml:space="preserve">En </w:t>
      </w:r>
      <w:r w:rsidR="002F0F05">
        <w:rPr>
          <w:rFonts w:ascii="Arial" w:eastAsia="Arial" w:hAnsi="Arial" w:cs="Arial"/>
          <w:sz w:val="24"/>
          <w:szCs w:val="24"/>
        </w:rPr>
        <w:t>consecuencia,</w:t>
      </w:r>
      <w:r>
        <w:rPr>
          <w:rFonts w:ascii="Arial" w:eastAsia="Arial" w:hAnsi="Arial" w:cs="Arial"/>
          <w:sz w:val="24"/>
          <w:szCs w:val="24"/>
        </w:rPr>
        <w:t xml:space="preserve"> del referido análisis, es posible advertir que se colman las condiciones que sostiene </w:t>
      </w:r>
      <w:r w:rsidRPr="0087045B">
        <w:rPr>
          <w:rFonts w:ascii="Arial" w:eastAsia="Arial" w:hAnsi="Arial" w:cs="Arial"/>
          <w:sz w:val="24"/>
          <w:szCs w:val="24"/>
        </w:rPr>
        <w:t>la SCJN</w:t>
      </w:r>
      <w:r>
        <w:rPr>
          <w:rFonts w:ascii="Arial" w:eastAsia="Arial" w:hAnsi="Arial" w:cs="Arial"/>
          <w:sz w:val="24"/>
          <w:szCs w:val="24"/>
        </w:rPr>
        <w:t xml:space="preserve"> para actualizar una </w:t>
      </w:r>
      <w:r>
        <w:rPr>
          <w:rFonts w:ascii="Arial" w:eastAsia="Arial" w:hAnsi="Arial" w:cs="Arial"/>
          <w:b/>
          <w:sz w:val="24"/>
          <w:szCs w:val="24"/>
        </w:rPr>
        <w:t>conducta protegida por la inmunidad parlamentaria</w:t>
      </w:r>
      <w:r>
        <w:rPr>
          <w:rFonts w:ascii="Arial" w:eastAsia="Arial" w:hAnsi="Arial" w:cs="Arial"/>
          <w:sz w:val="24"/>
          <w:szCs w:val="24"/>
        </w:rPr>
        <w:t>, principio que tiene como objetivo proteger la libertad de discusión y de toma de decisiones que se asuman en el parlamento por parte de las y los legisladores como representantes públicos, cuando estos actúen en el desempeño de su cargo. El hecho de permitir estas condiciones genera como consecuencia una protección de fondo, absoluta y de carácter perpetuo que, en esencia, sitúa a las y los legisladores en una posición de excepción.</w:t>
      </w:r>
    </w:p>
    <w:p w14:paraId="16A54F25" w14:textId="77777777" w:rsidR="006C1DC5" w:rsidRPr="0087045B" w:rsidRDefault="006C1DC5" w:rsidP="0087045B">
      <w:pPr>
        <w:pStyle w:val="Sinespaciado"/>
        <w:rPr>
          <w:rFonts w:eastAsia="Arial"/>
        </w:rPr>
      </w:pPr>
    </w:p>
    <w:p w14:paraId="5ED9FF1A" w14:textId="3AF1054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t xml:space="preserve">La postura asumida en la presente resolución resulta ser acorde a lo previsto tanto en el texto constitucional como en los criterios </w:t>
      </w:r>
      <w:r w:rsidRPr="0087045B">
        <w:rPr>
          <w:rFonts w:ascii="Arial" w:eastAsia="Arial" w:hAnsi="Arial" w:cs="Arial"/>
          <w:sz w:val="24"/>
          <w:szCs w:val="24"/>
        </w:rPr>
        <w:t xml:space="preserve">emitidos por la </w:t>
      </w:r>
      <w:r w:rsidR="0087045B" w:rsidRPr="0087045B">
        <w:rPr>
          <w:rFonts w:ascii="Arial" w:eastAsia="Arial" w:hAnsi="Arial" w:cs="Arial"/>
          <w:sz w:val="24"/>
          <w:szCs w:val="24"/>
        </w:rPr>
        <w:t>SCJN</w:t>
      </w:r>
      <w:r w:rsidR="00EC771E">
        <w:rPr>
          <w:rFonts w:ascii="Arial" w:eastAsia="Arial" w:hAnsi="Arial" w:cs="Arial"/>
          <w:sz w:val="24"/>
          <w:szCs w:val="24"/>
        </w:rPr>
        <w:t xml:space="preserve"> </w:t>
      </w:r>
      <w:r>
        <w:rPr>
          <w:rFonts w:ascii="Arial" w:eastAsia="Arial" w:hAnsi="Arial" w:cs="Arial"/>
          <w:sz w:val="24"/>
          <w:szCs w:val="24"/>
        </w:rPr>
        <w:t xml:space="preserve">y el Máximo Tribunal de la materia, quienes han sostenido, básicamente, que la inviolabilidad parlamentaria se limita a proteger aquellas manifestaciones realizadas por parlamentarios y parlamentarias en el ejercicio de alguna de sus actividades definidas en la ley como correspondientes al cargo, como lo podrían ser, entre otras, </w:t>
      </w:r>
      <w:r>
        <w:rPr>
          <w:rFonts w:ascii="Arial" w:eastAsia="Arial" w:hAnsi="Arial" w:cs="Arial"/>
          <w:b/>
          <w:sz w:val="24"/>
          <w:szCs w:val="24"/>
        </w:rPr>
        <w:t>sus intervenciones</w:t>
      </w:r>
      <w:r>
        <w:rPr>
          <w:rFonts w:ascii="Arial" w:eastAsia="Arial" w:hAnsi="Arial" w:cs="Arial"/>
          <w:sz w:val="24"/>
          <w:szCs w:val="24"/>
        </w:rPr>
        <w:t xml:space="preserve"> en comisiones o en</w:t>
      </w:r>
      <w:r>
        <w:rPr>
          <w:rFonts w:ascii="Arial" w:eastAsia="Arial" w:hAnsi="Arial" w:cs="Arial"/>
          <w:b/>
          <w:sz w:val="24"/>
          <w:szCs w:val="24"/>
        </w:rPr>
        <w:t xml:space="preserve"> pleno del órgano legislativo.</w:t>
      </w:r>
      <w:r>
        <w:rPr>
          <w:rFonts w:ascii="Arial" w:eastAsia="Arial" w:hAnsi="Arial" w:cs="Arial"/>
          <w:b/>
          <w:sz w:val="24"/>
          <w:szCs w:val="24"/>
          <w:vertAlign w:val="superscript"/>
        </w:rPr>
        <w:footnoteReference w:id="12"/>
      </w:r>
      <w:r>
        <w:rPr>
          <w:rFonts w:ascii="Arial" w:eastAsia="Arial" w:hAnsi="Arial" w:cs="Arial"/>
          <w:sz w:val="24"/>
          <w:szCs w:val="24"/>
        </w:rPr>
        <w:t xml:space="preserve"> </w:t>
      </w:r>
    </w:p>
    <w:p w14:paraId="6C1C7F47" w14:textId="77777777" w:rsidR="006C1DC5" w:rsidRDefault="006C1DC5" w:rsidP="002F0F05">
      <w:pPr>
        <w:pStyle w:val="Sinespaciado"/>
        <w:rPr>
          <w:rFonts w:eastAsia="Arial"/>
        </w:rPr>
      </w:pPr>
    </w:p>
    <w:p w14:paraId="1C4BCA25" w14:textId="7777777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t xml:space="preserve">De ahí que sea posible advertir que el principio de inviolabilidad parlamentaria obliga tanto al gobierno como a los particulares a tolerar manifestaciones vertidas en su contra a pesar de que consideren que estas pudiesen resultar difamatorias, ya que el bien jurídico que se pretende proteger es, precisamente, la </w:t>
      </w:r>
      <w:r>
        <w:rPr>
          <w:rFonts w:ascii="Arial" w:eastAsia="Arial" w:hAnsi="Arial" w:cs="Arial"/>
          <w:b/>
          <w:sz w:val="24"/>
          <w:szCs w:val="24"/>
        </w:rPr>
        <w:t>función del Poder Legislativo</w:t>
      </w:r>
      <w:r>
        <w:rPr>
          <w:rFonts w:ascii="Arial" w:eastAsia="Arial" w:hAnsi="Arial" w:cs="Arial"/>
          <w:sz w:val="24"/>
          <w:szCs w:val="24"/>
        </w:rPr>
        <w:t>.</w:t>
      </w:r>
    </w:p>
    <w:p w14:paraId="2296B0F4" w14:textId="77777777" w:rsidR="006C1DC5" w:rsidRDefault="006C1DC5" w:rsidP="002F0F05">
      <w:pPr>
        <w:pStyle w:val="Sinespaciado"/>
        <w:rPr>
          <w:rFonts w:eastAsia="Arial"/>
        </w:rPr>
      </w:pPr>
    </w:p>
    <w:p w14:paraId="0A0F4D5F" w14:textId="221B1524"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t xml:space="preserve">Por último, debe tomarse en cuenta que, a criterio de la SCJN, en el caso de que tales opiniones se consideren ofensivas o infamantes, se actualiza la competencia del propio órgano legislativo para calificar tales expresiones y, en su caso, sancionarlas, ello solamente puede ocurrir a través de la presidencia del propio </w:t>
      </w:r>
      <w:r w:rsidR="00EC771E">
        <w:rPr>
          <w:rFonts w:ascii="Arial" w:eastAsia="Arial" w:hAnsi="Arial" w:cs="Arial"/>
          <w:sz w:val="24"/>
          <w:szCs w:val="24"/>
        </w:rPr>
        <w:t>Órgano.</w:t>
      </w:r>
      <w:r>
        <w:rPr>
          <w:rFonts w:ascii="Arial" w:eastAsia="Arial" w:hAnsi="Arial" w:cs="Arial"/>
          <w:sz w:val="24"/>
          <w:szCs w:val="24"/>
        </w:rPr>
        <w:t xml:space="preserve"> Esta situación de excepción tiene como propósito esencial </w:t>
      </w:r>
      <w:r>
        <w:rPr>
          <w:rFonts w:ascii="Arial" w:eastAsia="Arial" w:hAnsi="Arial" w:cs="Arial"/>
          <w:b/>
          <w:sz w:val="24"/>
          <w:szCs w:val="24"/>
        </w:rPr>
        <w:t>evitar que</w:t>
      </w:r>
      <w:r>
        <w:rPr>
          <w:rFonts w:ascii="Arial" w:eastAsia="Arial" w:hAnsi="Arial" w:cs="Arial"/>
          <w:sz w:val="24"/>
          <w:szCs w:val="24"/>
        </w:rPr>
        <w:t xml:space="preserve"> </w:t>
      </w:r>
      <w:r>
        <w:rPr>
          <w:rFonts w:ascii="Arial" w:eastAsia="Arial" w:hAnsi="Arial" w:cs="Arial"/>
          <w:b/>
          <w:sz w:val="24"/>
          <w:szCs w:val="24"/>
        </w:rPr>
        <w:t xml:space="preserve">ninguna entidad externa incida en la organización del ente </w:t>
      </w:r>
      <w:r>
        <w:rPr>
          <w:rFonts w:ascii="Arial" w:eastAsia="Arial" w:hAnsi="Arial" w:cs="Arial"/>
          <w:sz w:val="24"/>
          <w:szCs w:val="24"/>
        </w:rPr>
        <w:t xml:space="preserve">a proteger. </w:t>
      </w:r>
    </w:p>
    <w:p w14:paraId="0817E8FE" w14:textId="77777777" w:rsidR="006C1DC5" w:rsidRDefault="006C1DC5" w:rsidP="002F0F05">
      <w:pPr>
        <w:pStyle w:val="Sinespaciado"/>
        <w:rPr>
          <w:rFonts w:eastAsia="Arial"/>
        </w:rPr>
      </w:pPr>
    </w:p>
    <w:p w14:paraId="18520396" w14:textId="7777777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sz w:val="24"/>
          <w:szCs w:val="24"/>
        </w:rPr>
        <w:t>Así, en atención al análisis abordado en la presente resolución, este Tribunal Electoral estima que lo procedente es declarar la inexistencia de las infracciones cuestionadas, pues de acuerdo al marco normativo vigente en materia de procedimientos sancionadores</w:t>
      </w:r>
      <w:r>
        <w:rPr>
          <w:rFonts w:ascii="Arial" w:eastAsia="Arial" w:hAnsi="Arial" w:cs="Arial"/>
          <w:sz w:val="24"/>
          <w:szCs w:val="24"/>
          <w:vertAlign w:val="superscript"/>
        </w:rPr>
        <w:footnoteReference w:id="13"/>
      </w:r>
      <w:r>
        <w:rPr>
          <w:rFonts w:ascii="Arial" w:eastAsia="Arial" w:hAnsi="Arial" w:cs="Arial"/>
          <w:sz w:val="24"/>
          <w:szCs w:val="24"/>
        </w:rPr>
        <w:t>, al órgano jurisdiccional únicamente les corresponde emitir la sentencia que se pronuncie de forma definitiva sobre la existencia o no de las infracciones que se denuncien.</w:t>
      </w:r>
    </w:p>
    <w:p w14:paraId="1D604485" w14:textId="77777777" w:rsidR="006C1DC5" w:rsidRDefault="006C1DC5" w:rsidP="002F0F05">
      <w:pPr>
        <w:pStyle w:val="Sinespaciado"/>
        <w:rPr>
          <w:rFonts w:eastAsia="Arial"/>
        </w:rPr>
      </w:pPr>
    </w:p>
    <w:p w14:paraId="1131708B" w14:textId="0EA2AC26"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b/>
          <w:sz w:val="24"/>
          <w:szCs w:val="24"/>
          <w:u w:val="single"/>
        </w:rPr>
      </w:pPr>
      <w:r>
        <w:rPr>
          <w:rFonts w:ascii="Arial" w:eastAsia="Arial" w:hAnsi="Arial" w:cs="Arial"/>
          <w:sz w:val="24"/>
          <w:szCs w:val="24"/>
        </w:rPr>
        <w:lastRenderedPageBreak/>
        <w:t xml:space="preserve">Por lo expuesto, como se adelantó, lo procedente es declarar la inexistencia de las infracciones denunciadas, ya que, a partir de las circunstancias que existieron -i) se emitió por una Senadora, ii) se trató de una opinión, iii) en el ejercicio de su función legislativa-, la emisión del mensaje denunciado </w:t>
      </w:r>
      <w:r>
        <w:rPr>
          <w:rFonts w:ascii="Arial" w:eastAsia="Arial" w:hAnsi="Arial" w:cs="Arial"/>
          <w:b/>
          <w:sz w:val="24"/>
          <w:szCs w:val="24"/>
        </w:rPr>
        <w:t>se encuentra amparado por el principio de la inviolabilidad parlamentaria</w:t>
      </w:r>
      <w:r w:rsidR="002F0F05">
        <w:rPr>
          <w:rFonts w:ascii="Arial" w:eastAsia="Arial" w:hAnsi="Arial" w:cs="Arial"/>
          <w:sz w:val="24"/>
          <w:szCs w:val="24"/>
        </w:rPr>
        <w:t xml:space="preserve"> y,</w:t>
      </w:r>
      <w:r>
        <w:rPr>
          <w:rFonts w:ascii="Arial" w:eastAsia="Arial" w:hAnsi="Arial" w:cs="Arial"/>
          <w:sz w:val="24"/>
          <w:szCs w:val="24"/>
        </w:rPr>
        <w:t xml:space="preserve"> por tanto, </w:t>
      </w:r>
      <w:r>
        <w:rPr>
          <w:rFonts w:ascii="Arial" w:eastAsia="Arial" w:hAnsi="Arial" w:cs="Arial"/>
          <w:b/>
          <w:sz w:val="24"/>
          <w:szCs w:val="24"/>
          <w:u w:val="single"/>
        </w:rPr>
        <w:t xml:space="preserve">escapa de la competencia del ámbito jurisdiccional electoral. </w:t>
      </w:r>
    </w:p>
    <w:p w14:paraId="30B75040" w14:textId="77777777" w:rsidR="006C1DC5" w:rsidRDefault="006C1DC5" w:rsidP="002F0F05">
      <w:pPr>
        <w:pStyle w:val="Sinespaciado"/>
        <w:rPr>
          <w:rFonts w:eastAsia="Arial"/>
        </w:rPr>
      </w:pPr>
    </w:p>
    <w:p w14:paraId="038E733B" w14:textId="7777777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sz w:val="24"/>
          <w:szCs w:val="24"/>
        </w:rPr>
      </w:pPr>
      <w:r>
        <w:rPr>
          <w:rFonts w:ascii="Arial" w:eastAsia="Arial" w:hAnsi="Arial" w:cs="Arial"/>
          <w:b/>
          <w:sz w:val="24"/>
          <w:szCs w:val="24"/>
          <w:u w:val="single"/>
        </w:rPr>
        <w:t>Culpa in vigilando.</w:t>
      </w:r>
      <w:r>
        <w:rPr>
          <w:rFonts w:ascii="Arial" w:eastAsia="Arial" w:hAnsi="Arial" w:cs="Arial"/>
          <w:sz w:val="24"/>
          <w:szCs w:val="24"/>
        </w:rPr>
        <w:t xml:space="preserve"> Esta autoridad jurisdiccional estima que, dado que se acreditó la inexistencia de las infracciones cuestionadas derivado de la falta de competencia del Tribunal Electoral para conocer los hechos denunciados, igualmente debe desestimarse la responsabilidad imputada a los partidos políticos PT y PVEM.</w:t>
      </w:r>
    </w:p>
    <w:p w14:paraId="0AE758F5" w14:textId="77777777" w:rsidR="006C1DC5" w:rsidRDefault="006C1DC5" w:rsidP="002F0F05">
      <w:pPr>
        <w:pStyle w:val="Sinespaciado"/>
        <w:rPr>
          <w:rFonts w:eastAsia="Arial"/>
        </w:rPr>
      </w:pPr>
    </w:p>
    <w:p w14:paraId="684C5D28" w14:textId="77777777" w:rsidR="006C1DC5" w:rsidRDefault="00781BFC">
      <w:pPr>
        <w:pBdr>
          <w:top w:val="nil"/>
          <w:left w:val="nil"/>
          <w:bottom w:val="nil"/>
          <w:right w:val="nil"/>
          <w:between w:val="nil"/>
        </w:pBdr>
        <w:tabs>
          <w:tab w:val="left" w:pos="0"/>
          <w:tab w:val="left" w:pos="426"/>
        </w:tabs>
        <w:spacing w:line="360" w:lineRule="auto"/>
        <w:jc w:val="center"/>
        <w:rPr>
          <w:rFonts w:ascii="Arial" w:eastAsia="Arial" w:hAnsi="Arial" w:cs="Arial"/>
          <w:b/>
          <w:color w:val="000000"/>
          <w:sz w:val="24"/>
          <w:szCs w:val="24"/>
        </w:rPr>
      </w:pPr>
      <w:r>
        <w:rPr>
          <w:rFonts w:ascii="Arial" w:eastAsia="Arial" w:hAnsi="Arial" w:cs="Arial"/>
          <w:b/>
          <w:sz w:val="24"/>
          <w:szCs w:val="24"/>
        </w:rPr>
        <w:t>IV</w:t>
      </w:r>
      <w:r>
        <w:rPr>
          <w:rFonts w:ascii="Arial" w:eastAsia="Arial" w:hAnsi="Arial" w:cs="Arial"/>
          <w:b/>
          <w:color w:val="000000"/>
          <w:sz w:val="24"/>
          <w:szCs w:val="24"/>
        </w:rPr>
        <w:t>. Resolutivos</w:t>
      </w:r>
    </w:p>
    <w:p w14:paraId="549EC389" w14:textId="77777777" w:rsidR="006C1DC5" w:rsidRDefault="006C1DC5" w:rsidP="002F0F05">
      <w:pPr>
        <w:pStyle w:val="Sinespaciado"/>
        <w:rPr>
          <w:rFonts w:eastAsia="Arial"/>
        </w:rPr>
      </w:pPr>
    </w:p>
    <w:p w14:paraId="69C05035" w14:textId="77777777" w:rsidR="006C1DC5" w:rsidRDefault="00781BFC">
      <w:pPr>
        <w:spacing w:line="360" w:lineRule="auto"/>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Se declara la </w:t>
      </w:r>
      <w:r>
        <w:rPr>
          <w:rFonts w:ascii="Arial" w:eastAsia="Arial" w:hAnsi="Arial" w:cs="Arial"/>
          <w:b/>
          <w:sz w:val="24"/>
          <w:szCs w:val="24"/>
        </w:rPr>
        <w:t xml:space="preserve">inexistencia </w:t>
      </w:r>
      <w:r>
        <w:rPr>
          <w:rFonts w:ascii="Arial" w:eastAsia="Arial" w:hAnsi="Arial" w:cs="Arial"/>
          <w:sz w:val="24"/>
          <w:szCs w:val="24"/>
        </w:rPr>
        <w:t>de las infracciones atribuidas a la ciudadana Martha Cecilia Márquez Alvarado, en su carácter de entonces Senadora de la República.</w:t>
      </w:r>
    </w:p>
    <w:p w14:paraId="11D2019C" w14:textId="77777777" w:rsidR="006C1DC5" w:rsidRDefault="006C1DC5" w:rsidP="002F0F05">
      <w:pPr>
        <w:pStyle w:val="Sinespaciado"/>
        <w:rPr>
          <w:rFonts w:eastAsia="Arial"/>
        </w:rPr>
      </w:pPr>
    </w:p>
    <w:p w14:paraId="409476EB" w14:textId="2873FAA9" w:rsidR="006C1DC5" w:rsidRDefault="00781BFC">
      <w:pPr>
        <w:spacing w:line="360" w:lineRule="auto"/>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Se declara la inexistencia de la infracción de culpa in vigilando atribuida a los partidos políticos PT y PVEM.</w:t>
      </w:r>
    </w:p>
    <w:p w14:paraId="1AA2E685" w14:textId="77777777" w:rsidR="006C1DC5" w:rsidRDefault="006C1DC5" w:rsidP="002F0F05">
      <w:pPr>
        <w:pStyle w:val="Sinespaciado"/>
      </w:pPr>
    </w:p>
    <w:p w14:paraId="76724B4A" w14:textId="7777777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Notifíquese. </w:t>
      </w:r>
    </w:p>
    <w:p w14:paraId="19BF40F5" w14:textId="77777777" w:rsidR="006C1DC5" w:rsidRPr="002F0F05" w:rsidRDefault="006C1DC5" w:rsidP="002F0F05">
      <w:pPr>
        <w:pStyle w:val="Sinespaciado"/>
        <w:rPr>
          <w:sz w:val="18"/>
          <w:szCs w:val="18"/>
        </w:rPr>
      </w:pPr>
    </w:p>
    <w:p w14:paraId="592BC035" w14:textId="77777777" w:rsidR="006C1DC5" w:rsidRDefault="00781BFC">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Así lo resolvió el Tribunal Electoral del Estado de Aguascalientes, por unanimidad de votos de las </w:t>
      </w:r>
      <w:r>
        <w:rPr>
          <w:rFonts w:ascii="Arial" w:eastAsia="Arial" w:hAnsi="Arial" w:cs="Arial"/>
          <w:sz w:val="24"/>
          <w:szCs w:val="24"/>
        </w:rPr>
        <w:t xml:space="preserve">Magistradas y el </w:t>
      </w:r>
      <w:r>
        <w:rPr>
          <w:rFonts w:ascii="Arial" w:eastAsia="Arial" w:hAnsi="Arial" w:cs="Arial"/>
          <w:color w:val="000000"/>
          <w:sz w:val="24"/>
          <w:szCs w:val="24"/>
        </w:rPr>
        <w:t>Magistrado que lo integran, ante el Secretario General de Acuerdos, quien autoriza y da fe.</w:t>
      </w:r>
    </w:p>
    <w:p w14:paraId="7E799CD9" w14:textId="77777777" w:rsidR="006C1DC5" w:rsidRDefault="006C1DC5">
      <w:pPr>
        <w:spacing w:line="360" w:lineRule="auto"/>
        <w:jc w:val="both"/>
        <w:rPr>
          <w:rFonts w:ascii="Arial" w:eastAsia="Arial" w:hAnsi="Arial" w:cs="Arial"/>
          <w:sz w:val="24"/>
          <w:szCs w:val="24"/>
        </w:rPr>
      </w:pPr>
    </w:p>
    <w:tbl>
      <w:tblPr>
        <w:tblW w:w="8160" w:type="dxa"/>
        <w:jc w:val="center"/>
        <w:tblLayout w:type="fixed"/>
        <w:tblLook w:val="0400" w:firstRow="0" w:lastRow="0" w:firstColumn="0" w:lastColumn="0" w:noHBand="0" w:noVBand="1"/>
      </w:tblPr>
      <w:tblGrid>
        <w:gridCol w:w="4056"/>
        <w:gridCol w:w="4104"/>
      </w:tblGrid>
      <w:tr w:rsidR="000C346D" w14:paraId="07AAD757" w14:textId="77777777" w:rsidTr="008124E4">
        <w:trPr>
          <w:trHeight w:val="1129"/>
          <w:jc w:val="center"/>
        </w:trPr>
        <w:tc>
          <w:tcPr>
            <w:tcW w:w="8160" w:type="dxa"/>
            <w:gridSpan w:val="2"/>
            <w:shd w:val="clear" w:color="auto" w:fill="FFFFFF"/>
          </w:tcPr>
          <w:p w14:paraId="7EDB98E3" w14:textId="257302E8"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MAGISTRADA PRESIDENTA</w:t>
            </w:r>
          </w:p>
          <w:p w14:paraId="498541E9" w14:textId="77777777" w:rsidR="000C346D" w:rsidRDefault="000C346D" w:rsidP="008124E4">
            <w:pPr>
              <w:pBdr>
                <w:top w:val="nil"/>
                <w:left w:val="nil"/>
                <w:bottom w:val="nil"/>
                <w:right w:val="nil"/>
                <w:between w:val="nil"/>
              </w:pBdr>
              <w:spacing w:line="360" w:lineRule="auto"/>
              <w:ind w:right="49"/>
              <w:rPr>
                <w:rFonts w:ascii="Arial" w:eastAsia="Arial" w:hAnsi="Arial" w:cs="Arial"/>
                <w:b/>
                <w:color w:val="000000"/>
                <w:sz w:val="24"/>
                <w:szCs w:val="24"/>
              </w:rPr>
            </w:pPr>
          </w:p>
          <w:p w14:paraId="183E74D1" w14:textId="77777777"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p w14:paraId="2F14425B" w14:textId="77777777" w:rsidR="000C346D" w:rsidRDefault="000C346D" w:rsidP="008124E4">
            <w:pPr>
              <w:pStyle w:val="Sinespaciado"/>
              <w:rPr>
                <w:rFonts w:eastAsia="Arial"/>
              </w:rPr>
            </w:pPr>
          </w:p>
          <w:p w14:paraId="37425B06" w14:textId="77777777" w:rsidR="000C346D" w:rsidRDefault="000C346D" w:rsidP="008124E4">
            <w:pPr>
              <w:pBdr>
                <w:top w:val="nil"/>
                <w:left w:val="nil"/>
                <w:bottom w:val="nil"/>
                <w:right w:val="nil"/>
                <w:between w:val="nil"/>
              </w:pBdr>
              <w:rPr>
                <w:color w:val="000000"/>
              </w:rPr>
            </w:pPr>
          </w:p>
        </w:tc>
      </w:tr>
      <w:tr w:rsidR="000C346D" w14:paraId="2F6D036F" w14:textId="77777777" w:rsidTr="008124E4">
        <w:trPr>
          <w:trHeight w:val="1484"/>
          <w:jc w:val="center"/>
        </w:trPr>
        <w:tc>
          <w:tcPr>
            <w:tcW w:w="4056" w:type="dxa"/>
            <w:shd w:val="clear" w:color="auto" w:fill="FFFFFF"/>
          </w:tcPr>
          <w:p w14:paraId="4013D622" w14:textId="0111DDB4"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MAGISTRADA</w:t>
            </w:r>
          </w:p>
          <w:p w14:paraId="540AB2AA" w14:textId="77777777" w:rsidR="000C346D" w:rsidRDefault="000C346D" w:rsidP="008124E4">
            <w:pPr>
              <w:pBdr>
                <w:top w:val="nil"/>
                <w:left w:val="nil"/>
                <w:bottom w:val="nil"/>
                <w:right w:val="nil"/>
                <w:between w:val="nil"/>
              </w:pBdr>
              <w:rPr>
                <w:color w:val="000000"/>
              </w:rPr>
            </w:pPr>
          </w:p>
          <w:p w14:paraId="3974F535" w14:textId="77777777" w:rsidR="000C346D" w:rsidRDefault="000C346D" w:rsidP="008124E4">
            <w:pPr>
              <w:pBdr>
                <w:top w:val="nil"/>
                <w:left w:val="nil"/>
                <w:bottom w:val="nil"/>
                <w:right w:val="nil"/>
                <w:between w:val="nil"/>
              </w:pBdr>
              <w:rPr>
                <w:color w:val="000000"/>
              </w:rPr>
            </w:pPr>
          </w:p>
          <w:p w14:paraId="56EFB6BD" w14:textId="77777777"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45424B40" w14:textId="77777777"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104" w:type="dxa"/>
            <w:shd w:val="clear" w:color="auto" w:fill="FFFFFF"/>
          </w:tcPr>
          <w:p w14:paraId="1B4DA0E2" w14:textId="484340D2"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MAGISTRADO</w:t>
            </w:r>
          </w:p>
          <w:p w14:paraId="0C21AE49" w14:textId="77777777" w:rsidR="000C346D" w:rsidRDefault="000C346D" w:rsidP="008124E4">
            <w:pPr>
              <w:pBdr>
                <w:top w:val="nil"/>
                <w:left w:val="nil"/>
                <w:bottom w:val="nil"/>
                <w:right w:val="nil"/>
                <w:between w:val="nil"/>
              </w:pBdr>
              <w:rPr>
                <w:color w:val="000000"/>
              </w:rPr>
            </w:pPr>
          </w:p>
          <w:p w14:paraId="0327D222" w14:textId="77777777" w:rsidR="000C346D" w:rsidRDefault="000C346D" w:rsidP="008124E4">
            <w:pPr>
              <w:pBdr>
                <w:top w:val="nil"/>
                <w:left w:val="nil"/>
                <w:bottom w:val="nil"/>
                <w:right w:val="nil"/>
                <w:between w:val="nil"/>
              </w:pBdr>
              <w:rPr>
                <w:color w:val="000000"/>
              </w:rPr>
            </w:pPr>
          </w:p>
          <w:p w14:paraId="29B50AE4" w14:textId="77777777"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HÉCTOR SALVADOR HERNÁNDEZ GALLEGOS</w:t>
            </w:r>
          </w:p>
          <w:p w14:paraId="216F8A93" w14:textId="77777777" w:rsidR="000C346D" w:rsidRDefault="000C346D" w:rsidP="008124E4">
            <w:pPr>
              <w:pBdr>
                <w:top w:val="nil"/>
                <w:left w:val="nil"/>
                <w:bottom w:val="nil"/>
                <w:right w:val="nil"/>
                <w:between w:val="nil"/>
              </w:pBdr>
              <w:spacing w:line="360" w:lineRule="auto"/>
              <w:ind w:right="49"/>
              <w:rPr>
                <w:rFonts w:ascii="Arial" w:eastAsia="Arial" w:hAnsi="Arial" w:cs="Arial"/>
                <w:b/>
                <w:color w:val="000000"/>
                <w:sz w:val="24"/>
                <w:szCs w:val="24"/>
              </w:rPr>
            </w:pPr>
          </w:p>
          <w:p w14:paraId="4F23E74B" w14:textId="77777777" w:rsidR="000C346D" w:rsidRDefault="000C346D" w:rsidP="008124E4">
            <w:pPr>
              <w:pStyle w:val="Sinespaciado"/>
            </w:pPr>
          </w:p>
        </w:tc>
      </w:tr>
      <w:tr w:rsidR="000C346D" w14:paraId="0939014E" w14:textId="77777777" w:rsidTr="008124E4">
        <w:trPr>
          <w:trHeight w:val="881"/>
          <w:jc w:val="center"/>
        </w:trPr>
        <w:tc>
          <w:tcPr>
            <w:tcW w:w="8160" w:type="dxa"/>
            <w:gridSpan w:val="2"/>
            <w:shd w:val="clear" w:color="auto" w:fill="FFFFFF"/>
          </w:tcPr>
          <w:p w14:paraId="04299557" w14:textId="571A82A8"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 xml:space="preserve">SECRETARIO GENERAL DE ACUERDOS </w:t>
            </w:r>
          </w:p>
          <w:p w14:paraId="4A52E02E" w14:textId="77777777"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p>
          <w:p w14:paraId="686F19AD" w14:textId="77777777" w:rsidR="000C346D" w:rsidRDefault="000C346D" w:rsidP="008124E4">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JESÚS OCIEL BAENA SAUCEDO</w:t>
            </w:r>
          </w:p>
        </w:tc>
      </w:tr>
    </w:tbl>
    <w:p w14:paraId="527F9EC6" w14:textId="77777777" w:rsidR="006C1DC5" w:rsidRDefault="006C1DC5">
      <w:pPr>
        <w:spacing w:line="360" w:lineRule="auto"/>
        <w:rPr>
          <w:rFonts w:ascii="Arial" w:eastAsia="Arial" w:hAnsi="Arial" w:cs="Arial"/>
          <w:sz w:val="24"/>
          <w:szCs w:val="24"/>
        </w:rPr>
      </w:pPr>
    </w:p>
    <w:p w14:paraId="04FB05C6" w14:textId="77777777" w:rsidR="006C1DC5" w:rsidRDefault="006C1DC5"/>
    <w:sectPr w:rsidR="006C1DC5" w:rsidSect="00F42EE6">
      <w:headerReference w:type="even" r:id="rId9"/>
      <w:headerReference w:type="default" r:id="rId10"/>
      <w:footerReference w:type="even" r:id="rId11"/>
      <w:footerReference w:type="default" r:id="rId12"/>
      <w:headerReference w:type="first" r:id="rId13"/>
      <w:footerReference w:type="first" r:id="rId14"/>
      <w:pgSz w:w="12240" w:h="20160" w:code="5"/>
      <w:pgMar w:top="2268" w:right="1134" w:bottom="1276" w:left="141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A427" w14:textId="77777777" w:rsidR="00AC1509" w:rsidRDefault="00AC1509">
      <w:r>
        <w:separator/>
      </w:r>
    </w:p>
  </w:endnote>
  <w:endnote w:type="continuationSeparator" w:id="0">
    <w:p w14:paraId="5EE4A039" w14:textId="77777777" w:rsidR="00AC1509" w:rsidRDefault="00AC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BB70" w14:textId="77777777" w:rsidR="006C1DC5" w:rsidRDefault="006C1DC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50E1" w14:textId="77777777" w:rsidR="006C1DC5" w:rsidRDefault="006C1DC5">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AC0C" w14:textId="77777777" w:rsidR="006C1DC5" w:rsidRDefault="006C1DC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F20F" w14:textId="77777777" w:rsidR="00AC1509" w:rsidRDefault="00AC1509">
      <w:r>
        <w:separator/>
      </w:r>
    </w:p>
  </w:footnote>
  <w:footnote w:type="continuationSeparator" w:id="0">
    <w:p w14:paraId="6FEAA33F" w14:textId="77777777" w:rsidR="00AC1509" w:rsidRDefault="00AC1509">
      <w:r>
        <w:continuationSeparator/>
      </w:r>
    </w:p>
  </w:footnote>
  <w:footnote w:id="1">
    <w:p w14:paraId="7FAEE5F8" w14:textId="77777777" w:rsidR="006C1DC5" w:rsidRDefault="00781BFC">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Encargado de despacho de la secretaría de estudio de la ponencia II.</w:t>
      </w:r>
    </w:p>
  </w:footnote>
  <w:footnote w:id="2">
    <w:p w14:paraId="73B9540F" w14:textId="77777777" w:rsidR="006C1DC5" w:rsidRDefault="00781BFC">
      <w:pPr>
        <w:jc w:val="both"/>
        <w:rPr>
          <w:rFonts w:ascii="Arial" w:eastAsia="Arial" w:hAnsi="Arial" w:cs="Arial"/>
        </w:rPr>
      </w:pPr>
      <w:r>
        <w:rPr>
          <w:vertAlign w:val="superscript"/>
        </w:rPr>
        <w:footnoteRef/>
      </w:r>
      <w:r>
        <w:rPr>
          <w:rFonts w:ascii="Arial" w:eastAsia="Arial" w:hAnsi="Arial" w:cs="Arial"/>
        </w:rPr>
        <w:t xml:space="preserve"> Todas las fechas corresponden al 2022, salvo precisión en contrario.</w:t>
      </w:r>
    </w:p>
  </w:footnote>
  <w:footnote w:id="3">
    <w:p w14:paraId="27DAB2DF" w14:textId="77777777" w:rsidR="006C1DC5" w:rsidRDefault="00781BFC">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i/>
        </w:rPr>
        <w:t>Precampaña</w:t>
      </w:r>
      <w:r>
        <w:rPr>
          <w:rFonts w:ascii="Arial" w:eastAsia="Arial" w:hAnsi="Arial" w:cs="Arial"/>
        </w:rPr>
        <w:t xml:space="preserve">: Del 2 de enero al 10 de febrero; Intercampaña: Del 11 de febrero al 2 de abril; </w:t>
      </w:r>
      <w:r>
        <w:rPr>
          <w:rFonts w:ascii="Arial" w:eastAsia="Arial" w:hAnsi="Arial" w:cs="Arial"/>
          <w:i/>
        </w:rPr>
        <w:t>Campaña</w:t>
      </w:r>
      <w:r>
        <w:rPr>
          <w:rFonts w:ascii="Arial" w:eastAsia="Arial" w:hAnsi="Arial" w:cs="Arial"/>
        </w:rPr>
        <w:t xml:space="preserve">: Del 3 de abril al 1 de junio; </w:t>
      </w:r>
      <w:r>
        <w:rPr>
          <w:rFonts w:ascii="Arial" w:eastAsia="Arial" w:hAnsi="Arial" w:cs="Arial"/>
          <w:i/>
        </w:rPr>
        <w:t>Veda Electoral</w:t>
      </w:r>
      <w:r>
        <w:rPr>
          <w:rFonts w:ascii="Arial" w:eastAsia="Arial" w:hAnsi="Arial" w:cs="Arial"/>
        </w:rPr>
        <w:t xml:space="preserve">: Tres días antes de la Jornada Electoral; </w:t>
      </w:r>
      <w:r>
        <w:rPr>
          <w:rFonts w:ascii="Arial" w:eastAsia="Arial" w:hAnsi="Arial" w:cs="Arial"/>
          <w:i/>
        </w:rPr>
        <w:t>Jornada Electoral</w:t>
      </w:r>
      <w:r>
        <w:rPr>
          <w:rFonts w:ascii="Arial" w:eastAsia="Arial" w:hAnsi="Arial" w:cs="Arial"/>
        </w:rPr>
        <w:t>: El 5 de junio.</w:t>
      </w:r>
    </w:p>
  </w:footnote>
  <w:footnote w:id="4">
    <w:p w14:paraId="0C0CCC63" w14:textId="77777777" w:rsidR="006C1DC5" w:rsidRDefault="00781BFC">
      <w:pPr>
        <w:jc w:val="both"/>
      </w:pPr>
      <w:r>
        <w:rPr>
          <w:vertAlign w:val="superscript"/>
        </w:rPr>
        <w:footnoteRef/>
      </w:r>
      <w:r>
        <w:t xml:space="preserve"> </w:t>
      </w:r>
      <w:r>
        <w:rPr>
          <w:rFonts w:ascii="Arial" w:eastAsia="Arial" w:hAnsi="Arial" w:cs="Arial"/>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footnote>
  <w:footnote w:id="5">
    <w:p w14:paraId="6209AE5B" w14:textId="2530E905" w:rsidR="006C1DC5" w:rsidRDefault="00781BFC">
      <w:pPr>
        <w:jc w:val="both"/>
      </w:pPr>
      <w:r>
        <w:rPr>
          <w:vertAlign w:val="superscript"/>
        </w:rPr>
        <w:footnoteRef/>
      </w:r>
      <w:r>
        <w:t xml:space="preserve"> </w:t>
      </w:r>
      <w:r>
        <w:rPr>
          <w:rFonts w:ascii="Arial" w:eastAsia="Arial" w:hAnsi="Arial" w:cs="Arial"/>
        </w:rPr>
        <w:t xml:space="preserve">Artículo 61. Los diputados y senadores son inviolables por las opiniones que manifiesten en el desempeño de sus cargos, y jamás podrán ser reconvenidos por ellas. El </w:t>
      </w:r>
      <w:r w:rsidR="002F0F05">
        <w:rPr>
          <w:rFonts w:ascii="Arial" w:eastAsia="Arial" w:hAnsi="Arial" w:cs="Arial"/>
        </w:rPr>
        <w:t>presidente</w:t>
      </w:r>
      <w:r>
        <w:rPr>
          <w:rFonts w:ascii="Arial" w:eastAsia="Arial" w:hAnsi="Arial" w:cs="Arial"/>
        </w:rPr>
        <w:t xml:space="preserve"> de cada Cámara velará por el respeto al fuero constitucional de los miembros de la misma y por la inviolabilidad del recinto donde se reúnan a sesionar.</w:t>
      </w:r>
    </w:p>
  </w:footnote>
  <w:footnote w:id="6">
    <w:p w14:paraId="2872C256" w14:textId="77777777" w:rsidR="006C1DC5" w:rsidRDefault="00781BFC">
      <w:pPr>
        <w:jc w:val="both"/>
        <w:rPr>
          <w:rFonts w:ascii="Arial" w:eastAsia="Arial" w:hAnsi="Arial" w:cs="Arial"/>
        </w:rPr>
      </w:pPr>
      <w:r>
        <w:rPr>
          <w:vertAlign w:val="superscript"/>
        </w:rPr>
        <w:footnoteRef/>
      </w:r>
      <w:r>
        <w:t xml:space="preserve"> </w:t>
      </w:r>
      <w:r>
        <w:rPr>
          <w:rFonts w:ascii="Arial" w:eastAsia="Arial" w:hAnsi="Arial" w:cs="Arial"/>
        </w:rPr>
        <w:t xml:space="preserve">Tesis 1a. XXX/2000, de rubro: </w:t>
      </w:r>
      <w:r>
        <w:rPr>
          <w:rFonts w:ascii="Arial" w:eastAsia="Arial" w:hAnsi="Arial" w:cs="Arial"/>
          <w:i/>
        </w:rPr>
        <w:t>“INMUNIDAD LEGISLATIVA. OBJETO Y ALCANCES DE LA GARANTÍA PREVISTA EN EL ARTÍCULO 61 DE LA CONSTITUCIÓN FEDERAL”</w:t>
      </w:r>
      <w:r>
        <w:rPr>
          <w:rFonts w:ascii="Arial" w:eastAsia="Arial" w:hAnsi="Arial" w:cs="Arial"/>
        </w:rPr>
        <w:t xml:space="preserve">, visible en el </w:t>
      </w:r>
      <w:r>
        <w:rPr>
          <w:rFonts w:ascii="Arial" w:eastAsia="Arial" w:hAnsi="Arial" w:cs="Arial"/>
          <w:color w:val="212529"/>
          <w:highlight w:val="white"/>
        </w:rPr>
        <w:t>Semanario Judicial de la Federación y su Gaceta, tomo XII, año 2000, página 245.</w:t>
      </w:r>
    </w:p>
  </w:footnote>
  <w:footnote w:id="7">
    <w:p w14:paraId="55961896" w14:textId="77777777" w:rsidR="006C1DC5" w:rsidRDefault="00781BFC">
      <w:pPr>
        <w:jc w:val="both"/>
        <w:rPr>
          <w:rFonts w:ascii="Arial" w:eastAsia="Arial" w:hAnsi="Arial" w:cs="Arial"/>
        </w:rPr>
      </w:pPr>
      <w:r>
        <w:rPr>
          <w:vertAlign w:val="superscript"/>
        </w:rPr>
        <w:footnoteRef/>
      </w:r>
      <w:r>
        <w:t xml:space="preserve"> </w:t>
      </w:r>
      <w:r>
        <w:rPr>
          <w:rFonts w:ascii="Arial" w:eastAsia="Arial" w:hAnsi="Arial" w:cs="Arial"/>
        </w:rPr>
        <w:t>Tesis P. I/2011, de rubro:</w:t>
      </w:r>
      <w:r>
        <w:rPr>
          <w:rFonts w:ascii="Arial" w:eastAsia="Arial" w:hAnsi="Arial" w:cs="Arial"/>
          <w:i/>
        </w:rPr>
        <w:t xml:space="preserve"> “INVIOLABILIDAD PARLAMENTARIA. SÓLO PROTEGE LAS OPINIONES EMITIDAS POR LOS LEGISLADORES EN EL DESEMPEÑO DE SU FUNCIÓN PARLAMENTARIA”</w:t>
      </w:r>
      <w:r>
        <w:rPr>
          <w:rFonts w:ascii="Arial" w:eastAsia="Arial" w:hAnsi="Arial" w:cs="Arial"/>
        </w:rPr>
        <w:t xml:space="preserve">, visible en el </w:t>
      </w:r>
      <w:r>
        <w:rPr>
          <w:rFonts w:ascii="Arial" w:eastAsia="Arial" w:hAnsi="Arial" w:cs="Arial"/>
          <w:color w:val="212529"/>
          <w:highlight w:val="white"/>
        </w:rPr>
        <w:t>Semanario Judicial de la Federación y su Gaceta, tomo XXXIII, año 2011, página 7.</w:t>
      </w:r>
    </w:p>
  </w:footnote>
  <w:footnote w:id="8">
    <w:p w14:paraId="7A3A06EF" w14:textId="77777777" w:rsidR="006C1DC5" w:rsidRDefault="00781BFC">
      <w:pPr>
        <w:jc w:val="both"/>
        <w:rPr>
          <w:rFonts w:ascii="Arial" w:eastAsia="Arial" w:hAnsi="Arial" w:cs="Arial"/>
        </w:rPr>
      </w:pPr>
      <w:r>
        <w:rPr>
          <w:vertAlign w:val="superscript"/>
        </w:rPr>
        <w:footnoteRef/>
      </w:r>
      <w:r>
        <w:rPr>
          <w:rFonts w:ascii="Arial" w:eastAsia="Arial" w:hAnsi="Arial" w:cs="Arial"/>
        </w:rPr>
        <w:t xml:space="preserve"> Tesis P. III/2011, de rubro: </w:t>
      </w:r>
      <w:r>
        <w:rPr>
          <w:rFonts w:ascii="Arial" w:eastAsia="Arial" w:hAnsi="Arial" w:cs="Arial"/>
          <w:i/>
        </w:rPr>
        <w:t>“INVIOLABILIDAD PARLAMENTARIA. LA CALIFICACIÓN Y LA CONSECUENTE SANCIÓN POR LAS OPINIONES QUE PUDIERAN CONSIDERARSE OFENSIVAS O INFAMANTES, O DE CUALQUIER FORMA INADMISIBLES, EMITIDAS POR LOS LEGISLADORES EN EL EJERCICIO DE LA FUNCIÓN PARLAMENTARIA, CORRESPONDEN AL PRESIDENTE DEL ÓRGANO LEGISLATIVO RESPECTIVO”</w:t>
      </w:r>
      <w:r>
        <w:rPr>
          <w:rFonts w:ascii="Arial" w:eastAsia="Arial" w:hAnsi="Arial" w:cs="Arial"/>
        </w:rPr>
        <w:t xml:space="preserve">, visible en el </w:t>
      </w:r>
      <w:r>
        <w:rPr>
          <w:rFonts w:ascii="Arial" w:eastAsia="Arial" w:hAnsi="Arial" w:cs="Arial"/>
          <w:color w:val="212529"/>
          <w:highlight w:val="white"/>
        </w:rPr>
        <w:t>Semanario Judicial de la Federación y su Gaceta, tomo XXXIII, año 2011, página 5.</w:t>
      </w:r>
    </w:p>
  </w:footnote>
  <w:footnote w:id="9">
    <w:p w14:paraId="1F28F3DD" w14:textId="77777777" w:rsidR="006C1DC5" w:rsidRDefault="00781BFC">
      <w:pPr>
        <w:jc w:val="both"/>
        <w:rPr>
          <w:rFonts w:ascii="Arial" w:eastAsia="Arial" w:hAnsi="Arial" w:cs="Arial"/>
        </w:rPr>
      </w:pPr>
      <w:r>
        <w:rPr>
          <w:vertAlign w:val="superscript"/>
        </w:rPr>
        <w:footnoteRef/>
      </w:r>
      <w:r>
        <w:t xml:space="preserve"> </w:t>
      </w:r>
      <w:r>
        <w:rPr>
          <w:rFonts w:ascii="Arial" w:eastAsia="Arial" w:hAnsi="Arial" w:cs="Arial"/>
        </w:rPr>
        <w:t>Artículo 87 1. Los debates en el Pleno inician con la presentación de dictámenes, proposiciones, mociones, informes, temas de agenda política o demás asuntos, que se someten a la deliberación y, en su caso, a votación.</w:t>
      </w:r>
    </w:p>
  </w:footnote>
  <w:footnote w:id="10">
    <w:p w14:paraId="0EB2733E" w14:textId="77777777" w:rsidR="002F0F05" w:rsidRDefault="00781BFC">
      <w:pPr>
        <w:jc w:val="both"/>
        <w:rPr>
          <w:rFonts w:ascii="Arial" w:eastAsia="Arial" w:hAnsi="Arial" w:cs="Arial"/>
        </w:rPr>
      </w:pPr>
      <w:r>
        <w:rPr>
          <w:vertAlign w:val="superscript"/>
        </w:rPr>
        <w:footnoteRef/>
      </w:r>
      <w:r>
        <w:t xml:space="preserve"> </w:t>
      </w:r>
      <w:r>
        <w:rPr>
          <w:rFonts w:ascii="Arial" w:eastAsia="Arial" w:hAnsi="Arial" w:cs="Arial"/>
        </w:rPr>
        <w:t>Artículo 8. 1. Son derechos de los senadores: [...]</w:t>
      </w:r>
      <w:r w:rsidR="002F0F05">
        <w:rPr>
          <w:rFonts w:ascii="Arial" w:eastAsia="Arial" w:hAnsi="Arial" w:cs="Arial"/>
        </w:rPr>
        <w:t xml:space="preserve"> </w:t>
      </w:r>
    </w:p>
    <w:p w14:paraId="4B901267" w14:textId="0B59CA4C" w:rsidR="006C1DC5" w:rsidRDefault="00781BFC">
      <w:pPr>
        <w:jc w:val="both"/>
        <w:rPr>
          <w:rFonts w:ascii="Arial" w:eastAsia="Arial" w:hAnsi="Arial" w:cs="Arial"/>
        </w:rPr>
      </w:pPr>
      <w:r>
        <w:rPr>
          <w:rFonts w:ascii="Arial" w:eastAsia="Arial" w:hAnsi="Arial" w:cs="Arial"/>
        </w:rPr>
        <w:t>II. Presentar proposiciones ante el Senado o la Comisión Permanente</w:t>
      </w:r>
    </w:p>
  </w:footnote>
  <w:footnote w:id="11">
    <w:p w14:paraId="711ED44E" w14:textId="77777777" w:rsidR="006C1DC5" w:rsidRDefault="00781BFC">
      <w:pPr>
        <w:jc w:val="both"/>
        <w:rPr>
          <w:rFonts w:ascii="Arial" w:eastAsia="Arial" w:hAnsi="Arial" w:cs="Arial"/>
        </w:rPr>
      </w:pPr>
      <w:r>
        <w:rPr>
          <w:vertAlign w:val="superscript"/>
        </w:rPr>
        <w:footnoteRef/>
      </w:r>
      <w:r>
        <w:t xml:space="preserve"> </w:t>
      </w:r>
      <w:r>
        <w:rPr>
          <w:rFonts w:ascii="Arial" w:eastAsia="Arial" w:hAnsi="Arial" w:cs="Arial"/>
        </w:rPr>
        <w:t>Artículo 276 1. Los senadores y los grupos parlamentarios también presentan proposiciones con punto de acuerdo con el objeto de atender asuntos que no constituyen iniciativas de ley o decreto. Se entiende por proposición con punto de acuerdo a toda petición o declaración formal que el Pleno del Senado de la República realiza para asumir una postura institucional respecto a asuntos de diversas índoles y sin carácter vinculante [...]</w:t>
      </w:r>
    </w:p>
  </w:footnote>
  <w:footnote w:id="12">
    <w:p w14:paraId="46C3A64D" w14:textId="77777777" w:rsidR="006C1DC5" w:rsidRDefault="00781BFC">
      <w:pPr>
        <w:jc w:val="both"/>
        <w:rPr>
          <w:rFonts w:ascii="Arial" w:eastAsia="Arial" w:hAnsi="Arial" w:cs="Arial"/>
        </w:rPr>
      </w:pPr>
      <w:r>
        <w:rPr>
          <w:vertAlign w:val="superscript"/>
        </w:rPr>
        <w:footnoteRef/>
      </w:r>
      <w:r>
        <w:rPr>
          <w:rFonts w:ascii="Arial" w:eastAsia="Arial" w:hAnsi="Arial" w:cs="Arial"/>
        </w:rPr>
        <w:t xml:space="preserve"> Consúltese asunto SUP-REP-68/2022.</w:t>
      </w:r>
    </w:p>
  </w:footnote>
  <w:footnote w:id="13">
    <w:p w14:paraId="5E6C75A9" w14:textId="4F5099AD" w:rsidR="006C1DC5" w:rsidRDefault="00781BFC">
      <w:pPr>
        <w:jc w:val="both"/>
        <w:rPr>
          <w:rFonts w:ascii="Arial" w:eastAsia="Arial" w:hAnsi="Arial" w:cs="Arial"/>
        </w:rPr>
      </w:pPr>
      <w:r>
        <w:rPr>
          <w:vertAlign w:val="superscript"/>
        </w:rPr>
        <w:footnoteRef/>
      </w:r>
      <w:r>
        <w:t xml:space="preserve"> </w:t>
      </w:r>
      <w:r>
        <w:rPr>
          <w:rFonts w:ascii="Arial" w:eastAsia="Arial" w:hAnsi="Arial" w:cs="Arial"/>
        </w:rPr>
        <w:t xml:space="preserve">ARTÍCULO 275.- Las sentencias que resuelvan el procedimiento especial sancionador, podrán tener los efectos siguientes: I. Declarar la inexistencia de la violación objeto de la queja o denuncia y, en su caso, revocar las medidas cautelares que se hubieren impuesto, o II. Declarar la existencia de la violación objeto de la queja o denuncia y, en su caso, imponer las sanciones que resulten procedentes en términos de lo dispuesto en este Código.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93C7" w14:textId="6137934B" w:rsidR="006C1DC5" w:rsidRDefault="00AC1509">
    <w:pPr>
      <w:pBdr>
        <w:top w:val="nil"/>
        <w:left w:val="nil"/>
        <w:bottom w:val="nil"/>
        <w:right w:val="nil"/>
        <w:between w:val="nil"/>
      </w:pBdr>
      <w:tabs>
        <w:tab w:val="center" w:pos="4419"/>
        <w:tab w:val="right" w:pos="8838"/>
      </w:tabs>
      <w:rPr>
        <w:color w:val="000000"/>
      </w:rPr>
    </w:pPr>
    <w:r>
      <w:rPr>
        <w:noProof/>
      </w:rPr>
      <w:pict w14:anchorId="5775E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404704" o:spid="_x0000_s1026" type="#_x0000_t136" style="position:absolute;margin-left:0;margin-top:0;width:591.85pt;height:91.0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781BFC">
      <w:rPr>
        <w:noProof/>
        <w:color w:val="000000"/>
      </w:rPr>
      <mc:AlternateContent>
        <mc:Choice Requires="wps">
          <w:drawing>
            <wp:anchor distT="0" distB="0" distL="0" distR="0" simplePos="0" relativeHeight="251658240" behindDoc="1" locked="0" layoutInCell="1" hidden="0" allowOverlap="1" wp14:anchorId="69652E97" wp14:editId="69B9333D">
              <wp:simplePos x="0" y="0"/>
              <wp:positionH relativeFrom="margin">
                <wp:align>center</wp:align>
              </wp:positionH>
              <wp:positionV relativeFrom="margin">
                <wp:align>center</wp:align>
              </wp:positionV>
              <wp:extent cx="15921757" cy="15921757"/>
              <wp:effectExtent l="0" t="0" r="0" b="0"/>
              <wp:wrapNone/>
              <wp:docPr id="56" name="Rectángulo 56"/>
              <wp:cNvGraphicFramePr/>
              <a:graphic xmlns:a="http://schemas.openxmlformats.org/drawingml/2006/main">
                <a:graphicData uri="http://schemas.microsoft.com/office/word/2010/wordprocessingShape">
                  <wps:wsp>
                    <wps:cNvSpPr/>
                    <wps:spPr>
                      <a:xfrm rot="-2700000">
                        <a:off x="1917318" y="3252633"/>
                        <a:ext cx="6857365" cy="1054735"/>
                      </a:xfrm>
                      <a:prstGeom prst="rect">
                        <a:avLst/>
                      </a:prstGeom>
                      <a:noFill/>
                      <a:ln>
                        <a:noFill/>
                      </a:ln>
                    </wps:spPr>
                    <wps:txbx>
                      <w:txbxContent>
                        <w:p w14:paraId="23A97FC8" w14:textId="77777777" w:rsidR="006C1DC5" w:rsidRDefault="00781BFC">
                          <w:pPr>
                            <w:jc w:val="center"/>
                            <w:textDirection w:val="btLr"/>
                          </w:pPr>
                          <w:r>
                            <w:rPr>
                              <w:rFonts w:ascii="Arial" w:eastAsia="Arial" w:hAnsi="Arial" w:cs="Arial"/>
                              <w:color w:val="C0C0C0"/>
                              <w:sz w:val="144"/>
                            </w:rPr>
                            <w:t>PARA CONSULTA</w:t>
                          </w:r>
                        </w:p>
                      </w:txbxContent>
                    </wps:txbx>
                    <wps:bodyPr spcFirstLastPara="1" wrap="square" lIns="91425" tIns="91425" rIns="91425" bIns="91425" anchor="ctr" anchorCtr="0">
                      <a:noAutofit/>
                    </wps:bodyPr>
                  </wps:wsp>
                </a:graphicData>
              </a:graphic>
            </wp:anchor>
          </w:drawing>
        </mc:Choice>
        <mc:Fallback>
          <w:pict>
            <v:rect w14:anchorId="69652E97" id="Rectángulo 56" o:spid="_x0000_s1026" style="position:absolute;margin-left:0;margin-top:0;width:1253.7pt;height:1253.7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wWwwEAAGwDAAAOAAAAZHJzL2Uyb0RvYy54bWysU8tu2zAQvBfoPxC8x3pFdiJYDooGLgoE&#10;rYG0H0BTpEWAItklbcl/3yXlJm5yK6oDwV0uZmd2VuuHadDkJMAra1paLHJKhOG2U+bQ0p8/tjd3&#10;lPjATMe0NaKlZ+Hpw+bjh/XoGlHa3upOAEEQ45vRtbQPwTVZ5nkvBuYX1gmDj9LCwAKGcMg6YCOi&#10;Dzor83yZjRY6B5YL7zH7OD/STcKXUvDwXUovAtEtRW4hnZDOfTyzzZo1B2CuV/xCg/0Di4Epg01f&#10;oB5ZYOQI6h3UoDhYb2VYcDtkVkrFRdKAaor8jZrnnjmRtOBwvHsZk/9/sPzb6dntAMcwOt94vEYV&#10;k4SBgMVp3ZSrPH5JHNIlE7p8X6yqAo09t7Qq63JZVfMcxRQIx4LlXb2qljUlHCuKvL5dVXWsyGbk&#10;2MGBD1+EHUi8tBTQqNSCnZ58mEv/lMRyY7dK62SWNn8lEDNmslf68Ram/XTRtLfdeQfEO75V2OuJ&#10;+bBjgCYXlIxofEv9ryMDQYn+anCy98VtidTDdQDXwf46YIb3FveJB6BkDj6HtF8zy0/HYKVKiiKv&#10;mcyFLlqaZnJZv7gz13Gqev1JNr8BAAD//wMAUEsDBBQABgAIAAAAIQDtiCEr2AAAAAcBAAAPAAAA&#10;ZHJzL2Rvd25yZXYueG1sTI9LT8QwDITvSPyHyEjcWJflXZqueO4R1AXE1duYtiJxqibbLfx6AhKC&#10;izXWWDOfi8XkrBp5CJ0XDYezDBRL7U0njYbnp/uDc1AhkhiyXljDBwdYlLs7BeXGb6XicRUblUIk&#10;5KShjbHPEUPdsqMw8z1L8t784CimdWjQDLRN4c7iPMtO0VEnqaGlnm9art9XG6dh7IluP1+X9uWu&#10;qvDBHOHF9SNqvb83XV2CijzFv2P4xk/oUCamtd+ICcpqSI/En5m8+Ul2dgxq/auwLPA/f/kFAAD/&#10;/wMAUEsBAi0AFAAGAAgAAAAhALaDOJL+AAAA4QEAABMAAAAAAAAAAAAAAAAAAAAAAFtDb250ZW50&#10;X1R5cGVzXS54bWxQSwECLQAUAAYACAAAACEAOP0h/9YAAACUAQAACwAAAAAAAAAAAAAAAAAvAQAA&#10;X3JlbHMvLnJlbHNQSwECLQAUAAYACAAAACEAqni8FsMBAABsAwAADgAAAAAAAAAAAAAAAAAuAgAA&#10;ZHJzL2Uyb0RvYy54bWxQSwECLQAUAAYACAAAACEA7YghK9gAAAAHAQAADwAAAAAAAAAAAAAAAAAd&#10;BAAAZHJzL2Rvd25yZXYueG1sUEsFBgAAAAAEAAQA8wAAACIFAAAAAA==&#10;" filled="f" stroked="f">
              <v:textbox inset="2.53958mm,2.53958mm,2.53958mm,2.53958mm">
                <w:txbxContent>
                  <w:p w14:paraId="23A97FC8" w14:textId="77777777" w:rsidR="006C1DC5" w:rsidRDefault="00781BFC">
                    <w:pPr>
                      <w:jc w:val="center"/>
                      <w:textDirection w:val="btLr"/>
                    </w:pPr>
                    <w:r>
                      <w:rPr>
                        <w:rFonts w:ascii="Arial" w:eastAsia="Arial" w:hAnsi="Arial" w:cs="Arial"/>
                        <w:color w:val="C0C0C0"/>
                        <w:sz w:val="144"/>
                      </w:rPr>
                      <w:t>PARA CONSULTA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F222" w14:textId="519B98A7" w:rsidR="006C1DC5" w:rsidRDefault="00AC1509">
    <w:pPr>
      <w:pBdr>
        <w:top w:val="nil"/>
        <w:left w:val="nil"/>
        <w:bottom w:val="nil"/>
        <w:right w:val="nil"/>
        <w:between w:val="nil"/>
      </w:pBdr>
      <w:tabs>
        <w:tab w:val="center" w:pos="4419"/>
        <w:tab w:val="right" w:pos="8838"/>
      </w:tabs>
    </w:pPr>
    <w:r>
      <w:rPr>
        <w:noProof/>
      </w:rPr>
      <w:pict w14:anchorId="0909A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404705" o:spid="_x0000_s1027" type="#_x0000_t136" style="position:absolute;margin-left:0;margin-top:0;width:591.85pt;height:91.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sdt>
    <w:sdtPr>
      <w:id w:val="-502195423"/>
      <w:docPartObj>
        <w:docPartGallery w:val="Page Numbers (Margins)"/>
        <w:docPartUnique/>
      </w:docPartObj>
    </w:sdtPr>
    <w:sdtEndPr/>
    <w:sdtContent>
      <w:p w14:paraId="7A340EC0" w14:textId="77777777" w:rsidR="006C1DC5" w:rsidRDefault="00F42EE6">
        <w:pPr>
          <w:pBdr>
            <w:top w:val="nil"/>
            <w:left w:val="nil"/>
            <w:bottom w:val="nil"/>
            <w:right w:val="nil"/>
            <w:between w:val="nil"/>
          </w:pBdr>
          <w:tabs>
            <w:tab w:val="center" w:pos="4419"/>
            <w:tab w:val="right" w:pos="8838"/>
          </w:tabs>
        </w:pPr>
        <w:r>
          <w:rPr>
            <w:noProof/>
          </w:rPr>
          <mc:AlternateContent>
            <mc:Choice Requires="wps">
              <w:drawing>
                <wp:anchor distT="0" distB="0" distL="114300" distR="114300" simplePos="0" relativeHeight="251660288" behindDoc="0" locked="0" layoutInCell="0" allowOverlap="1" wp14:anchorId="00B57CBB" wp14:editId="42417C3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D7EB872" w14:textId="77777777" w:rsidR="00F42EE6" w:rsidRDefault="00F42EE6">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7CBB" id="Rectángulo 1" o:spid="_x0000_s1027"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D7EB872" w14:textId="77777777" w:rsidR="00F42EE6" w:rsidRDefault="00F42EE6">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5FD8C88F" w14:textId="77777777" w:rsidR="006C1DC5" w:rsidRDefault="006C1DC5">
    <w:pPr>
      <w:pBdr>
        <w:top w:val="nil"/>
        <w:left w:val="nil"/>
        <w:bottom w:val="nil"/>
        <w:right w:val="nil"/>
        <w:between w:val="nil"/>
      </w:pBdr>
      <w:tabs>
        <w:tab w:val="center" w:pos="4419"/>
        <w:tab w:val="right" w:pos="8838"/>
      </w:tabs>
    </w:pPr>
  </w:p>
  <w:p w14:paraId="1A92F75C" w14:textId="77777777" w:rsidR="006C1DC5" w:rsidRDefault="00781BFC">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00EFA9F1" wp14:editId="055742EB">
          <wp:extent cx="995527" cy="1154534"/>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6293" w14:textId="529C5E68" w:rsidR="006C1DC5" w:rsidRDefault="00AC1509">
    <w:pPr>
      <w:pBdr>
        <w:top w:val="nil"/>
        <w:left w:val="nil"/>
        <w:bottom w:val="nil"/>
        <w:right w:val="nil"/>
        <w:between w:val="nil"/>
      </w:pBdr>
      <w:tabs>
        <w:tab w:val="center" w:pos="4419"/>
        <w:tab w:val="right" w:pos="8838"/>
      </w:tabs>
      <w:rPr>
        <w:color w:val="000000"/>
      </w:rPr>
    </w:pPr>
    <w:r>
      <w:rPr>
        <w:noProof/>
      </w:rPr>
      <w:pict w14:anchorId="0CC09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404703" o:spid="_x0000_s1025" type="#_x0000_t136" style="position:absolute;margin-left:0;margin-top:0;width:591.85pt;height:91.05pt;rotation:315;z-index:-251654144;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7D3"/>
    <w:multiLevelType w:val="hybridMultilevel"/>
    <w:tmpl w:val="377280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C5"/>
    <w:rsid w:val="0002697D"/>
    <w:rsid w:val="000C346D"/>
    <w:rsid w:val="00173CF0"/>
    <w:rsid w:val="001A2C1D"/>
    <w:rsid w:val="001D0540"/>
    <w:rsid w:val="002E474E"/>
    <w:rsid w:val="002F0F05"/>
    <w:rsid w:val="006C1DC5"/>
    <w:rsid w:val="00781BFC"/>
    <w:rsid w:val="007874DB"/>
    <w:rsid w:val="008032C8"/>
    <w:rsid w:val="008115E5"/>
    <w:rsid w:val="0087045B"/>
    <w:rsid w:val="0087210C"/>
    <w:rsid w:val="00A810C3"/>
    <w:rsid w:val="00AC1509"/>
    <w:rsid w:val="00B16E54"/>
    <w:rsid w:val="00B52956"/>
    <w:rsid w:val="00C50429"/>
    <w:rsid w:val="00DC0EDA"/>
    <w:rsid w:val="00EC771E"/>
    <w:rsid w:val="00F42E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FCEDE"/>
  <w15:docId w15:val="{9BAC227C-6286-47F6-8789-BC735289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93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C96933"/>
  </w:style>
  <w:style w:type="table" w:customStyle="1" w:styleId="Tabladecuadrcula4-nfasis31">
    <w:name w:val="Tabla de cuadrícula 4 - Énfasis 31"/>
    <w:basedOn w:val="Tablanormal"/>
    <w:next w:val="Tablaconcuadrcula4-nfasis3"/>
    <w:uiPriority w:val="49"/>
    <w:rsid w:val="00C9693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ipervnculo">
    <w:name w:val="Hyperlink"/>
    <w:basedOn w:val="Fuentedeprrafopredeter"/>
    <w:uiPriority w:val="99"/>
    <w:unhideWhenUsed/>
    <w:rsid w:val="00C96933"/>
    <w:rPr>
      <w:color w:val="0563C1" w:themeColor="hyperlink"/>
      <w:u w:val="single"/>
    </w:rPr>
  </w:style>
  <w:style w:type="paragraph" w:styleId="Piedepgina">
    <w:name w:val="footer"/>
    <w:basedOn w:val="Normal"/>
    <w:link w:val="PiedepginaCar"/>
    <w:uiPriority w:val="99"/>
    <w:unhideWhenUsed/>
    <w:rsid w:val="00C96933"/>
    <w:pPr>
      <w:tabs>
        <w:tab w:val="center" w:pos="4419"/>
        <w:tab w:val="right" w:pos="8838"/>
      </w:tabs>
    </w:pPr>
  </w:style>
  <w:style w:type="character" w:customStyle="1" w:styleId="PiedepginaCar">
    <w:name w:val="Pie de página Car"/>
    <w:basedOn w:val="Fuentedeprrafopredeter"/>
    <w:link w:val="Piedepgina"/>
    <w:uiPriority w:val="99"/>
    <w:rsid w:val="00C96933"/>
    <w:rPr>
      <w:rFonts w:ascii="Times New Roman" w:eastAsia="Times New Roman" w:hAnsi="Times New Roman" w:cs="Times New Roman"/>
      <w:sz w:val="20"/>
      <w:szCs w:val="20"/>
      <w:lang w:eastAsia="es-MX"/>
    </w:rPr>
  </w:style>
  <w:style w:type="paragraph" w:styleId="Encabezado">
    <w:name w:val="header"/>
    <w:basedOn w:val="Normal"/>
    <w:link w:val="EncabezadoCar"/>
    <w:uiPriority w:val="99"/>
    <w:unhideWhenUsed/>
    <w:rsid w:val="00C96933"/>
    <w:pPr>
      <w:tabs>
        <w:tab w:val="center" w:pos="4419"/>
        <w:tab w:val="right" w:pos="8838"/>
      </w:tabs>
    </w:pPr>
  </w:style>
  <w:style w:type="character" w:customStyle="1" w:styleId="EncabezadoCar">
    <w:name w:val="Encabezado Car"/>
    <w:basedOn w:val="Fuentedeprrafopredeter"/>
    <w:link w:val="Encabezado"/>
    <w:uiPriority w:val="99"/>
    <w:rsid w:val="00C96933"/>
    <w:rPr>
      <w:rFonts w:ascii="Times New Roman" w:eastAsia="Times New Roman" w:hAnsi="Times New Roman" w:cs="Times New Roman"/>
      <w:sz w:val="20"/>
      <w:szCs w:val="20"/>
      <w:lang w:eastAsia="es-MX"/>
    </w:rPr>
  </w:style>
  <w:style w:type="table" w:styleId="Tablaconcuadrcula4-nfasis3">
    <w:name w:val="Grid Table 4 Accent 3"/>
    <w:basedOn w:val="Tablanormal"/>
    <w:uiPriority w:val="49"/>
    <w:rsid w:val="00C9693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B16E54"/>
    <w:rPr>
      <w:sz w:val="16"/>
      <w:szCs w:val="16"/>
    </w:rPr>
  </w:style>
  <w:style w:type="paragraph" w:styleId="Textocomentario">
    <w:name w:val="annotation text"/>
    <w:basedOn w:val="Normal"/>
    <w:link w:val="TextocomentarioCar"/>
    <w:uiPriority w:val="99"/>
    <w:semiHidden/>
    <w:unhideWhenUsed/>
    <w:rsid w:val="00B16E54"/>
  </w:style>
  <w:style w:type="character" w:customStyle="1" w:styleId="TextocomentarioCar">
    <w:name w:val="Texto comentario Car"/>
    <w:basedOn w:val="Fuentedeprrafopredeter"/>
    <w:link w:val="Textocomentario"/>
    <w:uiPriority w:val="99"/>
    <w:semiHidden/>
    <w:rsid w:val="00B16E54"/>
  </w:style>
  <w:style w:type="paragraph" w:styleId="Asuntodelcomentario">
    <w:name w:val="annotation subject"/>
    <w:basedOn w:val="Textocomentario"/>
    <w:next w:val="Textocomentario"/>
    <w:link w:val="AsuntodelcomentarioCar"/>
    <w:uiPriority w:val="99"/>
    <w:semiHidden/>
    <w:unhideWhenUsed/>
    <w:rsid w:val="00B16E54"/>
    <w:rPr>
      <w:b/>
      <w:bCs/>
    </w:rPr>
  </w:style>
  <w:style w:type="character" w:customStyle="1" w:styleId="AsuntodelcomentarioCar">
    <w:name w:val="Asunto del comentario Car"/>
    <w:basedOn w:val="TextocomentarioCar"/>
    <w:link w:val="Asuntodelcomentario"/>
    <w:uiPriority w:val="99"/>
    <w:semiHidden/>
    <w:rsid w:val="00B16E54"/>
    <w:rPr>
      <w:b/>
      <w:bCs/>
    </w:rPr>
  </w:style>
  <w:style w:type="paragraph" w:styleId="Prrafodelista">
    <w:name w:val="List Paragraph"/>
    <w:basedOn w:val="Normal"/>
    <w:uiPriority w:val="34"/>
    <w:qFormat/>
    <w:rsid w:val="00870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Pr7Bu6OFx1pz+OQOwI+fVWUYQ==">AMUW2mWFZ5nbEQ+yKHqqXkgITUHD6HVoK69zL3W/w4fHXeknJpF7ALzdOg9f+e6kFPZQkisLBEMLJGukJHB3haor1436sFGQ3I9CgY7puCfjS26mqeSgotZNyhk7el/0VL294Wj6cBXPZFodPIk0+DbkLwQnCeWe4OfB9BJjdYvx5hqbHLPtxUZkvCBMXcPamXUEPnoXjZgPX0NQfwd2zcIZlVikmrjAxQ==</go:docsCustomData>
</go:gDocsCustomXmlDataStorage>
</file>

<file path=customXml/itemProps1.xml><?xml version="1.0" encoding="utf-8"?>
<ds:datastoreItem xmlns:ds="http://schemas.openxmlformats.org/officeDocument/2006/customXml" ds:itemID="{08331B7B-29EC-4FD3-9CD5-03F251ECCA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16763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TEEA-LAP-ONE</dc:creator>
  <cp:lastModifiedBy>Secretario Gral</cp:lastModifiedBy>
  <cp:revision>2</cp:revision>
  <cp:lastPrinted>2022-03-18T18:01:00Z</cp:lastPrinted>
  <dcterms:created xsi:type="dcterms:W3CDTF">2022-03-18T18:18:00Z</dcterms:created>
  <dcterms:modified xsi:type="dcterms:W3CDTF">2022-03-18T18:18:00Z</dcterms:modified>
</cp:coreProperties>
</file>